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1BD21522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53.2pt" o:ole="" fillcolor="window">
            <v:imagedata r:id="rId8" o:title=""/>
          </v:shape>
          <o:OLEObject Type="Embed" ProgID="MS_ClipArt_Gallery" ShapeID="_x0000_i1025" DrawAspect="Content" ObjectID="_1805178108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0DE6B2B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DD4614">
        <w:rPr>
          <w:rFonts w:ascii="Times New Roman" w:hAnsi="Times New Roman" w:cs="Times New Roman"/>
          <w:b/>
          <w:sz w:val="28"/>
          <w:szCs w:val="28"/>
          <w:lang w:val="uk-UA"/>
        </w:rPr>
        <w:t>два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надцята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03AAB35C" w14:textId="77777777" w:rsidR="00EA584F" w:rsidRDefault="009B5318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57C57051" w14:textId="77777777" w:rsidR="00EA584F" w:rsidRDefault="00EA584F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734A6D3" w14:textId="46AF8D1D" w:rsidR="00EA584F" w:rsidRPr="00EA584F" w:rsidRDefault="00EA584F" w:rsidP="00EA584F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A584F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Про затвердження звіту про виконання районного бюджету за 9 місяців 2021 року </w:t>
      </w:r>
    </w:p>
    <w:p w14:paraId="69F0E7C2" w14:textId="6AE30808" w:rsidR="00EA584F" w:rsidRPr="00EA584F" w:rsidRDefault="00EA584F" w:rsidP="00EA584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38A91769" w14:textId="77777777" w:rsidR="009E7AC6" w:rsidRPr="00793068" w:rsidRDefault="009E7AC6" w:rsidP="00793068">
      <w:pPr>
        <w:spacing w:after="0" w:line="240" w:lineRule="auto"/>
        <w:ind w:right="5073"/>
        <w:rPr>
          <w:rFonts w:ascii="Times New Roman" w:hAnsi="Times New Roman" w:cs="Times New Roman"/>
          <w:sz w:val="28"/>
          <w:szCs w:val="28"/>
          <w:lang w:val="uk-UA"/>
        </w:rPr>
      </w:pPr>
    </w:p>
    <w:p w14:paraId="05252A3B" w14:textId="77777777" w:rsidR="00E73D7A" w:rsidRPr="00E73D7A" w:rsidRDefault="00E73D7A" w:rsidP="00E73D7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t>16310200000</w:t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val="uk-UA" w:eastAsia="ar-SA"/>
        </w:rPr>
        <w:br/>
      </w:r>
      <w:r w:rsidRPr="00E73D7A">
        <w:rPr>
          <w:rFonts w:ascii="Times New Roman" w:eastAsia="Times New Roman" w:hAnsi="Times New Roman" w:cs="Times New Roman"/>
          <w:kern w:val="1"/>
          <w:sz w:val="24"/>
          <w:szCs w:val="24"/>
          <w:lang w:val="uk-UA" w:eastAsia="ar-SA"/>
        </w:rPr>
        <w:t>(код бюджету)</w:t>
      </w:r>
    </w:p>
    <w:p w14:paraId="7DD1D0CD" w14:textId="77777777" w:rsidR="00E73D7A" w:rsidRPr="00E73D7A" w:rsidRDefault="00E73D7A" w:rsidP="00E73D7A">
      <w:pPr>
        <w:suppressAutoHyphens/>
        <w:spacing w:after="0" w:line="240" w:lineRule="auto"/>
        <w:ind w:right="5199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5445197" w14:textId="02B6E543" w:rsidR="00E73D7A" w:rsidRDefault="00E73D7A" w:rsidP="00E73D7A">
      <w:pPr>
        <w:suppressAutoHyphens/>
        <w:spacing w:before="120"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3D7A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ab/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17 част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ини 1 статті 43 Закону України «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місцеве самоврядування в Украї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ні»</w:t>
      </w:r>
      <w:r w:rsidRPr="00E73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та </w:t>
      </w:r>
      <w:r w:rsidR="00EA58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статтею 80 Бюджетного кодексу України</w:t>
      </w:r>
      <w:r w:rsidRPr="00E73D7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14:paraId="44AAD5BA" w14:textId="77777777" w:rsidR="00E73D7A" w:rsidRPr="00E73D7A" w:rsidRDefault="00E73D7A" w:rsidP="00E73D7A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8FAF747" w14:textId="3A7ED84E" w:rsidR="00E73D7A" w:rsidRPr="00E73D7A" w:rsidRDefault="003C7222" w:rsidP="00E73D7A">
      <w:pPr>
        <w:suppressAutoHyphens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районна рада </w:t>
      </w:r>
      <w:r w:rsidR="00E73D7A" w:rsidRPr="00E73D7A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вирішила:</w:t>
      </w:r>
    </w:p>
    <w:p w14:paraId="2EED4E83" w14:textId="77777777" w:rsidR="00E73D7A" w:rsidRPr="00E73D7A" w:rsidRDefault="00E73D7A" w:rsidP="00E73D7A">
      <w:pPr>
        <w:suppressAutoHyphens/>
        <w:spacing w:before="120" w:after="0" w:line="240" w:lineRule="auto"/>
        <w:ind w:right="-5"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6A95497" w14:textId="08792B0D" w:rsidR="00EA584F" w:rsidRPr="00EA584F" w:rsidRDefault="00EA584F" w:rsidP="00EA584F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Затвердити звіт про виконання районного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бюджету за 9 місяців 2021 року 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 урахуванням міжбюджетних трансфертів по дохо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дах у сумі 1 419 840 грн 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(з них по з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агальному фонду – 1 315 751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по спеціальному фонду –              104 089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) та п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 видатках у сумі 8 493 329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(з них по загальному фонду –         </w:t>
      </w:r>
    </w:p>
    <w:p w14:paraId="791EDEFF" w14:textId="754DD956" w:rsidR="00EA584F" w:rsidRPr="00EA584F" w:rsidRDefault="00EA584F" w:rsidP="00EA584F">
      <w:pPr>
        <w:spacing w:after="4" w:line="261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8 199 330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по с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пеціальному фонду – 293 999 грн</w:t>
      </w:r>
      <w:r w:rsidRPr="00EA584F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), згідно з додатком. </w:t>
      </w:r>
    </w:p>
    <w:p w14:paraId="60E9CAC2" w14:textId="009BDDAB" w:rsidR="00E73D7A" w:rsidRPr="00E73D7A" w:rsidRDefault="00E73D7A" w:rsidP="00E73D7A">
      <w:pPr>
        <w:widowControl w:val="0"/>
        <w:suppressAutoHyphens/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2128957" w14:textId="145260D8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5A01FB" w14:textId="130AC6EA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7DB27C" w14:textId="343510B8" w:rsid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CF3C3B" w14:textId="77777777" w:rsidR="00E73D7A" w:rsidRPr="00E73D7A" w:rsidRDefault="00E73D7A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ru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  <w:lang w:val="ru-UA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12880D78" w14:textId="13469806" w:rsidR="002856E4" w:rsidRDefault="002856E4" w:rsidP="002856E4">
      <w:pPr>
        <w:rPr>
          <w:rFonts w:ascii="Times New Roman" w:hAnsi="Times New Roman" w:cs="Times New Roman"/>
          <w:lang w:val="uk-UA"/>
        </w:rPr>
      </w:pPr>
    </w:p>
    <w:p w14:paraId="53EDB9FB" w14:textId="77777777" w:rsidR="003C7222" w:rsidRDefault="003C7222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</w:p>
    <w:p w14:paraId="222FB9F0" w14:textId="77777777" w:rsidR="003C7222" w:rsidRDefault="003C7222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</w:p>
    <w:p w14:paraId="40011F3A" w14:textId="22FB6A74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5A3A95B4" w14:textId="1D71307A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>до рішення д</w:t>
      </w:r>
      <w:r>
        <w:rPr>
          <w:rFonts w:ascii="Times New Roman" w:hAnsi="Times New Roman" w:cs="Times New Roman"/>
          <w:sz w:val="24"/>
          <w:szCs w:val="24"/>
          <w:lang w:val="uk-UA"/>
        </w:rPr>
        <w:t>ванадцятої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позачергової сесії </w:t>
      </w:r>
    </w:p>
    <w:p w14:paraId="26A8588B" w14:textId="0348DDCA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2359A2D1" w14:textId="1F39F9E5" w:rsidR="00E73D7A" w:rsidRPr="00E73D7A" w:rsidRDefault="00E73D7A" w:rsidP="00E73D7A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«____»________________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3D7A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BA9021" w14:textId="77777777" w:rsidR="00EA584F" w:rsidRDefault="00EA584F" w:rsidP="00EA584F">
      <w:pPr>
        <w:spacing w:after="0" w:line="295" w:lineRule="auto"/>
        <w:ind w:left="252" w:right="3365" w:firstLine="1973"/>
        <w:rPr>
          <w:rFonts w:ascii="Times New Roman" w:eastAsia="Times New Roman" w:hAnsi="Times New Roman" w:cs="Times New Roman"/>
          <w:b/>
          <w:color w:val="000000"/>
          <w:sz w:val="12"/>
          <w:lang w:val="uk-UA" w:eastAsia="uk-UA"/>
        </w:rPr>
      </w:pPr>
    </w:p>
    <w:p w14:paraId="0DA6A4C7" w14:textId="0DCB876B" w:rsidR="00EA584F" w:rsidRDefault="00EA584F" w:rsidP="00EA584F">
      <w:pPr>
        <w:spacing w:after="0" w:line="295" w:lineRule="auto"/>
        <w:ind w:righ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EA5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Звіт про виконання районного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б</w:t>
      </w:r>
      <w:r w:rsidRPr="00EA5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юджету за 9 місяців 2021 року</w:t>
      </w:r>
    </w:p>
    <w:p w14:paraId="5416CD31" w14:textId="77777777" w:rsidR="007828A6" w:rsidRDefault="007828A6" w:rsidP="00EA584F">
      <w:pPr>
        <w:spacing w:after="0" w:line="295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12"/>
          <w:u w:val="single" w:color="000000"/>
          <w:lang w:val="uk-UA" w:eastAsia="uk-UA"/>
        </w:rPr>
      </w:pPr>
    </w:p>
    <w:p w14:paraId="6B251018" w14:textId="03F4500D" w:rsidR="00EA584F" w:rsidRPr="00EA584F" w:rsidRDefault="00EA584F" w:rsidP="00EA584F">
      <w:pPr>
        <w:spacing w:after="0" w:line="295" w:lineRule="auto"/>
        <w:ind w:right="142" w:firstLine="142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 w:rsidRPr="00EA584F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val="uk-UA" w:eastAsia="uk-UA"/>
        </w:rPr>
        <w:t>16310200000</w:t>
      </w:r>
      <w:r w:rsidRPr="00EA584F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(код бюджету) грн</w:t>
      </w:r>
    </w:p>
    <w:tbl>
      <w:tblPr>
        <w:tblStyle w:val="TableGrid1"/>
        <w:tblW w:w="9656" w:type="dxa"/>
        <w:tblInd w:w="4" w:type="dxa"/>
        <w:tblLayout w:type="fixed"/>
        <w:tblCellMar>
          <w:top w:w="0" w:type="dxa"/>
          <w:left w:w="21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1293"/>
        <w:gridCol w:w="4253"/>
        <w:gridCol w:w="1417"/>
        <w:gridCol w:w="1418"/>
        <w:gridCol w:w="1275"/>
      </w:tblGrid>
      <w:tr w:rsidR="00911BB2" w:rsidRPr="00EA584F" w14:paraId="3E242940" w14:textId="77777777" w:rsidTr="00911BB2">
        <w:trPr>
          <w:trHeight w:val="723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76242" w14:textId="77777777" w:rsidR="00EA584F" w:rsidRPr="00EA584F" w:rsidRDefault="00EA584F" w:rsidP="00EA584F">
            <w:pPr>
              <w:spacing w:line="25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Код бюджетної класифікації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12311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99F3" w14:textId="44B7222B" w:rsidR="00EA584F" w:rsidRPr="00EA584F" w:rsidRDefault="00EA584F" w:rsidP="00EA584F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Затверджено розписом на 9 міс</w:t>
            </w:r>
            <w:r>
              <w:rPr>
                <w:b/>
                <w:color w:val="000000"/>
                <w:sz w:val="20"/>
                <w:szCs w:val="20"/>
              </w:rPr>
              <w:t>я</w:t>
            </w:r>
            <w:r w:rsidRPr="00EA584F">
              <w:rPr>
                <w:b/>
                <w:color w:val="000000"/>
                <w:sz w:val="20"/>
                <w:szCs w:val="20"/>
              </w:rPr>
              <w:t>ців 2021 року з урахуванням змін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5AC03" w14:textId="40A695BA" w:rsidR="00EA584F" w:rsidRPr="00EA584F" w:rsidRDefault="00EA584F" w:rsidP="00EA584F">
            <w:pPr>
              <w:spacing w:line="259" w:lineRule="auto"/>
              <w:ind w:left="76" w:firstLine="80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Виконано за 9 місяців 2021 року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4B36D" w14:textId="77777777" w:rsidR="00EA584F" w:rsidRPr="00EA584F" w:rsidRDefault="00EA584F" w:rsidP="00EA584F">
            <w:pPr>
              <w:spacing w:line="259" w:lineRule="auto"/>
              <w:ind w:left="202" w:hanging="14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% виконання до плану</w:t>
            </w:r>
          </w:p>
        </w:tc>
      </w:tr>
      <w:tr w:rsidR="00911BB2" w:rsidRPr="00EA584F" w14:paraId="13833E00" w14:textId="77777777" w:rsidTr="00911BB2">
        <w:trPr>
          <w:trHeight w:val="233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F4F20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9B2E0E" w14:textId="77777777" w:rsidR="00EA584F" w:rsidRPr="00EA584F" w:rsidRDefault="00EA584F" w:rsidP="00EA584F">
            <w:pPr>
              <w:spacing w:line="259" w:lineRule="auto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ДОХОДИ ЗАГАЛЬНОГО ФОНДУ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2A81A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7BF3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E9B29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7E779F09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522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8472" w14:textId="77777777" w:rsidR="00EA584F" w:rsidRPr="00EA584F" w:rsidRDefault="00EA584F" w:rsidP="00EA584F">
            <w:pPr>
              <w:spacing w:line="259" w:lineRule="auto"/>
              <w:ind w:right="53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Податкові надходження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D5B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CBDB2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19C7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05D9D5A9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D21DE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1664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Податки на доходи, податки на прибуток, податки на збільшення ринкової вартості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CE4E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4A75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61F4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68AB93B0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66E1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11020000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3CF2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Податок на прибуток підприємств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112E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7BC9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A86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52E670C9" w14:textId="77777777" w:rsidTr="00911BB2">
        <w:trPr>
          <w:trHeight w:val="196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A9D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11020200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9451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Податок на прибуток підприємств та фінансових установ комунальної власності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C0E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3C005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6DE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6,7</w:t>
            </w:r>
          </w:p>
        </w:tc>
      </w:tr>
      <w:tr w:rsidR="00911BB2" w:rsidRPr="00EA584F" w14:paraId="5B5561D4" w14:textId="77777777" w:rsidTr="00911BB2">
        <w:trPr>
          <w:trHeight w:val="22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1A84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20D2A1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3EA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749 750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8A60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865 012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5C72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115,4</w:t>
            </w:r>
          </w:p>
        </w:tc>
      </w:tr>
      <w:tr w:rsidR="00911BB2" w:rsidRPr="00EA584F" w14:paraId="4024740C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F33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E20E2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Доходи від власності та підприємницької діяльності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06115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3A72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31 590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3FCC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25E13965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4B47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21080000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3DB4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Інші надходження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801A0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32BDE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31 590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CE3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1B0B4DC5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9A6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21081100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480B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 xml:space="preserve">Адміністративні штрафи та інші санкції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68870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2499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31 590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01C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043C1A0D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3389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B66B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Адміністративні збори та платежі, доходи від некомерційної господарської діяльності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BF2FF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748 750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0F7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716 022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C7C7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95,6</w:t>
            </w:r>
          </w:p>
        </w:tc>
      </w:tr>
      <w:tr w:rsidR="00911BB2" w:rsidRPr="00EA584F" w14:paraId="56E9928B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028C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719E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надання адміністративних послуг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9DC2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FC968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21 676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81E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7C435ED6" w14:textId="77777777" w:rsidTr="00911BB2">
        <w:trPr>
          <w:trHeight w:val="38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7B75C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22010300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2E99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Адміністративний збір за проведення державної реєстрації юридичних осіб,  фізичних осіб – підприємців та громадських формувань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65D2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78F2A4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1771D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246D18A8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26A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22012500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90E77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надання інших адміністративних послуг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9724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047E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19 076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030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05C29F0B" w14:textId="77777777" w:rsidTr="00911BB2">
        <w:trPr>
          <w:trHeight w:val="74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7BB3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22012900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B56906" w14:textId="77777777" w:rsidR="00EA584F" w:rsidRPr="00EA584F" w:rsidRDefault="00EA584F" w:rsidP="00EA584F">
            <w:pPr>
              <w:spacing w:line="259" w:lineRule="auto"/>
              <w:ind w:right="162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осіб, фізичних осіб — підприємців та громадських формувань, а також плата за надання інших платних послуг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8AC852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33D40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59A2AD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060B360A" w14:textId="77777777" w:rsidTr="00911BB2">
        <w:trPr>
          <w:trHeight w:val="38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C147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22080000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8D77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Надходження від орендної плати за користування цілісним майновим комплексом та іншим державним майном 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04FA93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748 750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0DCC44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694 346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62380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911BB2" w:rsidRPr="00EA584F" w14:paraId="03F2EF19" w14:textId="77777777" w:rsidTr="00911BB2">
        <w:trPr>
          <w:trHeight w:val="33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CF8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22080400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938F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3BB83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748 750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177CC2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694 346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1A09B2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92,7</w:t>
            </w:r>
          </w:p>
        </w:tc>
      </w:tr>
      <w:tr w:rsidR="00911BB2" w:rsidRPr="00EA584F" w14:paraId="396D00F4" w14:textId="77777777" w:rsidTr="00911BB2">
        <w:trPr>
          <w:trHeight w:val="18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481C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24000000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0C3A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неподаткові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3CD6E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F64A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117 400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3C2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11740,0</w:t>
            </w:r>
          </w:p>
        </w:tc>
      </w:tr>
      <w:tr w:rsidR="00911BB2" w:rsidRPr="00EA584F" w14:paraId="5EACF464" w14:textId="77777777" w:rsidTr="00911BB2">
        <w:trPr>
          <w:trHeight w:val="18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5C3F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24060000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19AED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15F3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EE17A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117 400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E22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11740,0</w:t>
            </w:r>
          </w:p>
        </w:tc>
      </w:tr>
      <w:tr w:rsidR="00911BB2" w:rsidRPr="00EA584F" w14:paraId="0A2F27B2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894B1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24060300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D2783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1A4EE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1E39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117 400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1296F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11740,0</w:t>
            </w:r>
          </w:p>
        </w:tc>
      </w:tr>
      <w:tr w:rsidR="00911BB2" w:rsidRPr="00EA584F" w14:paraId="590BEEE1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9D1F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96B6" w14:textId="77777777" w:rsidR="00EA584F" w:rsidRPr="00EA584F" w:rsidRDefault="00EA584F" w:rsidP="00EA584F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доходів загального фонду без урахування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CA5E6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758 750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43F7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865 612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4BA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114,1</w:t>
            </w:r>
          </w:p>
        </w:tc>
      </w:tr>
      <w:tr w:rsidR="00911BB2" w:rsidRPr="00EA584F" w14:paraId="268A97B3" w14:textId="77777777" w:rsidTr="00911BB2">
        <w:trPr>
          <w:trHeight w:val="20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803D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7D0E8" w14:textId="77777777" w:rsidR="00EA584F" w:rsidRPr="00EA584F" w:rsidRDefault="00EA584F" w:rsidP="00EA584F">
            <w:pPr>
              <w:spacing w:line="259" w:lineRule="auto"/>
              <w:ind w:left="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Офіційні трансферти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158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5575A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4FA14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7D6C45E0" w14:textId="77777777" w:rsidTr="00911BB2">
        <w:trPr>
          <w:trHeight w:val="18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A7DFA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41000000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FB265" w14:textId="77777777" w:rsidR="00EA584F" w:rsidRPr="00EA584F" w:rsidRDefault="00EA584F" w:rsidP="00EA584F">
            <w:pPr>
              <w:spacing w:line="259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Від органів державного управління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869C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F82C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803B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72B5FA13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1988A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41050000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AAD8" w14:textId="77777777" w:rsidR="00EA584F" w:rsidRPr="00EA584F" w:rsidRDefault="00EA584F" w:rsidP="00EA584F">
            <w:pPr>
              <w:spacing w:line="259" w:lineRule="auto"/>
              <w:ind w:left="3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Субвенції з місцевих бюджетів іншим місцевим </w:t>
            </w:r>
            <w:r w:rsidRPr="00EA584F">
              <w:rPr>
                <w:b/>
                <w:color w:val="000000"/>
                <w:sz w:val="20"/>
                <w:szCs w:val="20"/>
              </w:rPr>
              <w:lastRenderedPageBreak/>
              <w:t>бюджетам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E99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lastRenderedPageBreak/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7735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F2A48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04B0F1D2" w14:textId="77777777" w:rsidTr="00911BB2">
        <w:trPr>
          <w:trHeight w:val="196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96B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41053900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E1FBC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Інші субвенції з місцевого бюджету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31B0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653 010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2DDDD" w14:textId="77777777" w:rsidR="00EA584F" w:rsidRPr="00EA584F" w:rsidRDefault="00EA584F" w:rsidP="00EA584F">
            <w:pPr>
              <w:spacing w:line="259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450 139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5895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68,9</w:t>
            </w:r>
          </w:p>
        </w:tc>
      </w:tr>
      <w:tr w:rsidR="00911BB2" w:rsidRPr="00EA584F" w14:paraId="3DC854B7" w14:textId="77777777" w:rsidTr="00911BB2">
        <w:trPr>
          <w:trHeight w:val="306"/>
        </w:trPr>
        <w:tc>
          <w:tcPr>
            <w:tcW w:w="5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9C6C8" w14:textId="77777777" w:rsidR="00EA584F" w:rsidRPr="00EA584F" w:rsidRDefault="00EA584F" w:rsidP="00EA584F">
            <w:pPr>
              <w:spacing w:line="259" w:lineRule="auto"/>
              <w:ind w:left="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 доходів загального фонду з урахуванням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8B90B1" w14:textId="77777777" w:rsidR="00EA584F" w:rsidRPr="00EA584F" w:rsidRDefault="00EA584F" w:rsidP="00EA584F">
            <w:pPr>
              <w:spacing w:line="259" w:lineRule="auto"/>
              <w:ind w:lef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1 411 760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3AAC51" w14:textId="77777777" w:rsidR="00EA584F" w:rsidRPr="00EA584F" w:rsidRDefault="00EA584F" w:rsidP="00EA584F">
            <w:pPr>
              <w:spacing w:line="259" w:lineRule="auto"/>
              <w:ind w:left="17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1 315 751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F18D59" w14:textId="77777777" w:rsidR="00EA584F" w:rsidRPr="00EA584F" w:rsidRDefault="00EA584F" w:rsidP="00EA584F">
            <w:pPr>
              <w:spacing w:line="259" w:lineRule="auto"/>
              <w:ind w:lef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93,2</w:t>
            </w:r>
          </w:p>
        </w:tc>
      </w:tr>
      <w:tr w:rsidR="00911BB2" w:rsidRPr="00EA584F" w14:paraId="7C942372" w14:textId="77777777" w:rsidTr="00911BB2">
        <w:trPr>
          <w:trHeight w:val="202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6D1F6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1B046" w14:textId="77777777" w:rsidR="00EA584F" w:rsidRPr="00EA584F" w:rsidRDefault="00EA584F" w:rsidP="00EA584F">
            <w:pPr>
              <w:spacing w:line="259" w:lineRule="auto"/>
              <w:ind w:left="5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ДОХОДИ СПЕЦІАЛЬНОГО ФОНДУ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221A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33E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C4948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2415ADB8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D9E1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642E" w14:textId="77777777" w:rsidR="00EA584F" w:rsidRPr="00EA584F" w:rsidRDefault="00EA584F" w:rsidP="00EA584F">
            <w:pPr>
              <w:spacing w:line="259" w:lineRule="auto"/>
              <w:ind w:left="53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Неподаткові надходження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7119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A1E94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3D601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5AF8098B" w14:textId="77777777" w:rsidTr="00911BB2">
        <w:trPr>
          <w:trHeight w:val="19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63F0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25000000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C47C1" w14:textId="77777777" w:rsidR="00EA584F" w:rsidRPr="00EA584F" w:rsidRDefault="00EA584F" w:rsidP="00EA584F">
            <w:pPr>
              <w:spacing w:line="259" w:lineRule="auto"/>
              <w:ind w:left="5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Власні надходження бюджетних установ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A614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54DD7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8259E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428B601A" w14:textId="77777777" w:rsidTr="00911BB2">
        <w:trPr>
          <w:trHeight w:val="313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101B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25010200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DCA41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A4EF90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8739E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4 540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C47363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360833F8" w14:textId="77777777" w:rsidTr="00911BB2">
        <w:trPr>
          <w:trHeight w:val="22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95B1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25010300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595BF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Плата за оренду майна бюджетних установ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E9056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405D0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99 549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FDCD9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51F9AE8A" w14:textId="77777777" w:rsidTr="00911BB2">
        <w:trPr>
          <w:trHeight w:val="24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E8157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4D50C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 доходів спеціального фонду без урахуванням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23AD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5022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E93E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2CB24520" w14:textId="77777777" w:rsidTr="00911BB2">
        <w:trPr>
          <w:trHeight w:val="25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B4C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883B08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 доходів спеціального фонду з урахуванням міжбюджетних трансфертів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4DA9E7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7BD078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104 089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F9655B" w14:textId="77777777" w:rsidR="00EA584F" w:rsidRPr="00EA584F" w:rsidRDefault="00EA584F" w:rsidP="00EA584F">
            <w:pPr>
              <w:spacing w:line="259" w:lineRule="auto"/>
              <w:ind w:left="5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53F0A919" w14:textId="77777777" w:rsidTr="00911BB2">
        <w:trPr>
          <w:trHeight w:val="101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BA23" w14:textId="77777777" w:rsidR="00EA584F" w:rsidRPr="00EA584F" w:rsidRDefault="00EA584F" w:rsidP="00911BB2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Код Типової програмної</w:t>
            </w:r>
          </w:p>
          <w:p w14:paraId="3F7B9E91" w14:textId="77777777" w:rsidR="00EA584F" w:rsidRPr="00EA584F" w:rsidRDefault="00EA584F" w:rsidP="00911BB2">
            <w:pPr>
              <w:spacing w:line="270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класифікації видатків та</w:t>
            </w:r>
          </w:p>
          <w:p w14:paraId="1B077282" w14:textId="1761D4C9" w:rsidR="00911BB2" w:rsidRDefault="00EA584F" w:rsidP="00911BB2">
            <w:pPr>
              <w:spacing w:line="259" w:lineRule="auto"/>
              <w:ind w:left="142" w:hanging="16"/>
              <w:jc w:val="center"/>
              <w:rPr>
                <w:b/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</w:t>
            </w:r>
            <w:r w:rsidR="00911BB2">
              <w:rPr>
                <w:b/>
                <w:color w:val="000000"/>
                <w:sz w:val="20"/>
                <w:szCs w:val="20"/>
              </w:rPr>
              <w:t>-</w:t>
            </w:r>
          </w:p>
          <w:p w14:paraId="047EEFF4" w14:textId="1FBC6F52" w:rsidR="00EA584F" w:rsidRPr="00EA584F" w:rsidRDefault="00EA584F" w:rsidP="00911BB2">
            <w:pPr>
              <w:spacing w:line="259" w:lineRule="auto"/>
              <w:ind w:firstLine="12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вання місцевого бюджету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81DDD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Найменування видатків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31396" w14:textId="51CACCB2" w:rsidR="00EA584F" w:rsidRPr="00EA584F" w:rsidRDefault="00EA584F" w:rsidP="00EA584F">
            <w:pPr>
              <w:spacing w:line="270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Затверджено розписом на 9 місяців 2021 року з урахуванням змін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35170" w14:textId="6C1BB77B" w:rsidR="00EA584F" w:rsidRPr="00EA584F" w:rsidRDefault="00EA584F" w:rsidP="00EA584F">
            <w:pPr>
              <w:spacing w:line="259" w:lineRule="auto"/>
              <w:ind w:left="76" w:firstLine="80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Виконано за 9 місяців 2021 року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7F78D" w14:textId="77777777" w:rsidR="00EA584F" w:rsidRPr="00EA584F" w:rsidRDefault="00EA584F" w:rsidP="00EA584F">
            <w:pPr>
              <w:spacing w:line="259" w:lineRule="auto"/>
              <w:ind w:left="202" w:hanging="14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% виконання до плану</w:t>
            </w:r>
          </w:p>
        </w:tc>
      </w:tr>
      <w:tr w:rsidR="00911BB2" w:rsidRPr="00EA584F" w14:paraId="1B8BF517" w14:textId="77777777" w:rsidTr="00911BB2">
        <w:trPr>
          <w:trHeight w:val="18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940BDB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97C05B" w14:textId="77777777" w:rsidR="00EA584F" w:rsidRPr="00EA584F" w:rsidRDefault="00EA584F" w:rsidP="00EA584F">
            <w:pPr>
              <w:spacing w:line="259" w:lineRule="auto"/>
              <w:ind w:left="1146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B16D6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7D6EC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D0B01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911BB2" w:rsidRPr="00EA584F" w14:paraId="39EBDF79" w14:textId="77777777" w:rsidTr="00911BB2">
        <w:trPr>
          <w:trHeight w:val="22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3105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37977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Державне управління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78C3E" w14:textId="77777777" w:rsidR="00EA584F" w:rsidRPr="00EA584F" w:rsidRDefault="00EA584F" w:rsidP="00EA584F">
            <w:pPr>
              <w:spacing w:line="259" w:lineRule="auto"/>
              <w:ind w:righ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7 273 699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0156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6 724 683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C1FC7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92,5</w:t>
            </w:r>
          </w:p>
        </w:tc>
      </w:tr>
      <w:tr w:rsidR="00911BB2" w:rsidRPr="00EA584F" w14:paraId="5EE22248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8F80E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F56D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Освіта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3FCE3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758 970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96357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744 859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4B009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98,1</w:t>
            </w:r>
          </w:p>
        </w:tc>
      </w:tr>
      <w:tr w:rsidR="00911BB2" w:rsidRPr="00EA584F" w14:paraId="7016F447" w14:textId="77777777" w:rsidTr="00911BB2">
        <w:trPr>
          <w:trHeight w:val="205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A1C45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3D10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Соціальний захист та соціальне забезпечення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58EA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581 366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9FB7F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370 687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225F5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63,8</w:t>
            </w:r>
          </w:p>
        </w:tc>
      </w:tr>
      <w:tr w:rsidR="00911BB2" w:rsidRPr="00EA584F" w14:paraId="65BEB1C0" w14:textId="77777777" w:rsidTr="00911BB2">
        <w:trPr>
          <w:trHeight w:val="20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6448D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3060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9954" w14:textId="217CA8B6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Оздоровлення громад</w:t>
            </w:r>
            <w:r w:rsidRPr="00EA584F">
              <w:rPr>
                <w:color w:val="000000"/>
                <w:sz w:val="20"/>
                <w:szCs w:val="20"/>
              </w:rPr>
              <w:t xml:space="preserve">ян, які постраждали внаслідок Чорнобильської катастрофи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2FFD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166 000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8DC26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24C1C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7A787743" w14:textId="77777777" w:rsidTr="00911BB2">
        <w:trPr>
          <w:trHeight w:val="257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FC06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3090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9253E2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Видатки на поховання учасників бойових дій та осіб з інвалідністю внаслідок війни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FFE8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78 500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E5C53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42 829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8523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54,6</w:t>
            </w:r>
          </w:p>
        </w:tc>
      </w:tr>
      <w:tr w:rsidR="00911BB2" w:rsidRPr="00EA584F" w14:paraId="7BE13AF3" w14:textId="77777777" w:rsidTr="00911BB2">
        <w:trPr>
          <w:trHeight w:val="398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844697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3104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4F56F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98706D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60 925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DDBEB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60 925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8A8370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2FE1B597" w14:textId="77777777" w:rsidTr="00911BB2">
        <w:trPr>
          <w:trHeight w:val="29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9F7644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3121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8B717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Утримання та забезпечення діяльності центрів соціальних служб для сім`ї, дітей та молоді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E4C385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181 841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2DC12C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174 033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589891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95,7</w:t>
            </w:r>
          </w:p>
        </w:tc>
      </w:tr>
      <w:tr w:rsidR="00911BB2" w:rsidRPr="00EA584F" w14:paraId="773024E7" w14:textId="77777777" w:rsidTr="00911BB2">
        <w:trPr>
          <w:trHeight w:val="18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01D34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3172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D01F8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Встановлення телефонів особам з інвалідністю I і II груп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17C21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3FF17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DEE00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1BB2" w:rsidRPr="00EA584F" w14:paraId="650CD1EE" w14:textId="77777777" w:rsidTr="00911BB2">
        <w:trPr>
          <w:trHeight w:val="386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04A6E3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3192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2FFF3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Надання фінансової підтримки громадським організаціям ветеранів і осіб з інвалідністю, діяльність яких має соціальну спрямованість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A1CA91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92 900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E50CD8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92 900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2A9115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2BBD59FE" w14:textId="77777777" w:rsidTr="00911BB2">
        <w:trPr>
          <w:trHeight w:val="214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88AE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404B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Культура і мистецтво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56937" w14:textId="77777777" w:rsidR="00EA584F" w:rsidRPr="00EA584F" w:rsidRDefault="00EA584F" w:rsidP="00EA584F">
            <w:pPr>
              <w:spacing w:line="259" w:lineRule="auto"/>
              <w:ind w:right="2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351 568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5971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343 301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E248F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97,6</w:t>
            </w:r>
          </w:p>
        </w:tc>
      </w:tr>
      <w:tr w:rsidR="00911BB2" w:rsidRPr="00EA584F" w14:paraId="039A3EB7" w14:textId="77777777" w:rsidTr="00911BB2">
        <w:trPr>
          <w:trHeight w:val="340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322929" w14:textId="77777777" w:rsidR="00EA584F" w:rsidRPr="00EA584F" w:rsidRDefault="00EA584F" w:rsidP="00EA584F">
            <w:pPr>
              <w:spacing w:line="259" w:lineRule="auto"/>
              <w:ind w:right="11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D31A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БЕЗ УРАХУВАННЯ МІЖБЮДЖЕТНИХ ТРАНСФЕРТІВ </w:t>
            </w:r>
          </w:p>
          <w:p w14:paraId="70EC51AD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(ЗАГАЛЬНИЙ ФОНД)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0653C2" w14:textId="77777777" w:rsidR="00EA584F" w:rsidRPr="00EA584F" w:rsidRDefault="00EA584F" w:rsidP="00EA584F">
            <w:pPr>
              <w:spacing w:line="259" w:lineRule="auto"/>
              <w:ind w:right="14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8 965 603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C80155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8 183 530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E7FB22" w14:textId="77777777" w:rsidR="00EA584F" w:rsidRPr="00EA584F" w:rsidRDefault="00EA584F" w:rsidP="00EA584F">
            <w:pPr>
              <w:spacing w:line="259" w:lineRule="auto"/>
              <w:ind w:right="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911BB2" w:rsidRPr="00EA584F" w14:paraId="793CD2E2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217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4B385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7C244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Міжбюджетні трансферти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49973" w14:textId="77777777" w:rsidR="00EA584F" w:rsidRPr="00EA584F" w:rsidRDefault="00EA584F" w:rsidP="00EA584F">
            <w:pPr>
              <w:spacing w:line="259" w:lineRule="auto"/>
              <w:ind w:left="8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F9617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DA481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5F3C1BEC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342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D732921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9800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DA8BC" w14:textId="77777777" w:rsidR="00EA584F" w:rsidRPr="00EA584F" w:rsidRDefault="00EA584F" w:rsidP="00911BB2">
            <w:pPr>
              <w:spacing w:line="259" w:lineRule="auto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3F14A7" w14:textId="77777777" w:rsidR="00EA584F" w:rsidRPr="00EA584F" w:rsidRDefault="00EA584F" w:rsidP="00EA584F">
            <w:pPr>
              <w:spacing w:line="259" w:lineRule="auto"/>
              <w:ind w:left="9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083B23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D179D7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911BB2" w:rsidRPr="00EA584F" w14:paraId="04268FCE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343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0081F60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900202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87C44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З ТРАНСФЕРТАМИ, ЩО ПЕРЕДАЮТЬСЯ ДО </w:t>
            </w:r>
          </w:p>
          <w:p w14:paraId="44B4271A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ДЕРЖАВНОГО БЮДЖЕТУ  (ЗАГАЛЬНИЙ ФОНД)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E4CE796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8 981 403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75D48D8" w14:textId="77777777" w:rsidR="00EA584F" w:rsidRPr="00EA584F" w:rsidRDefault="00EA584F" w:rsidP="00EA584F">
            <w:pPr>
              <w:spacing w:line="259" w:lineRule="auto"/>
              <w:ind w:left="8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8 199 330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C08120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91,3</w:t>
            </w:r>
          </w:p>
        </w:tc>
      </w:tr>
      <w:tr w:rsidR="00911BB2" w:rsidRPr="00EA584F" w14:paraId="0DD7115D" w14:textId="77777777" w:rsidTr="00911BB2">
        <w:tblPrEx>
          <w:tblCellMar>
            <w:top w:w="25" w:type="dxa"/>
            <w:left w:w="23" w:type="dxa"/>
            <w:bottom w:w="8" w:type="dxa"/>
            <w:right w:w="115" w:type="dxa"/>
          </w:tblCellMar>
        </w:tblPrEx>
        <w:trPr>
          <w:trHeight w:val="309"/>
        </w:trPr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66789E2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900203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D2177D8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(ЗАГАЛЬНИЙ ФОНД):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FF8404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8 981 403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0787288" w14:textId="77777777" w:rsidR="00EA584F" w:rsidRPr="00EA584F" w:rsidRDefault="00EA584F" w:rsidP="00EA584F">
            <w:pPr>
              <w:spacing w:line="259" w:lineRule="auto"/>
              <w:ind w:left="98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8 199 330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7CEA685" w14:textId="77777777" w:rsidR="00EA584F" w:rsidRPr="00EA584F" w:rsidRDefault="00EA584F" w:rsidP="00EA584F">
            <w:pPr>
              <w:spacing w:line="259" w:lineRule="auto"/>
              <w:ind w:left="9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91,3</w:t>
            </w:r>
          </w:p>
        </w:tc>
      </w:tr>
    </w:tbl>
    <w:p w14:paraId="0EC1D67C" w14:textId="77777777" w:rsidR="00EA584F" w:rsidRPr="00EA584F" w:rsidRDefault="00EA584F" w:rsidP="00EA584F">
      <w:pPr>
        <w:keepNext/>
        <w:keepLines/>
        <w:spacing w:after="0" w:line="259" w:lineRule="auto"/>
        <w:ind w:left="2938"/>
        <w:outlineLvl w:val="2"/>
        <w:rPr>
          <w:rFonts w:eastAsia="Times New Roman" w:cstheme="minorHAnsi"/>
          <w:b/>
          <w:color w:val="000000"/>
          <w:sz w:val="20"/>
          <w:szCs w:val="20"/>
          <w:lang w:val="uk-UA" w:eastAsia="uk-UA"/>
        </w:rPr>
      </w:pPr>
      <w:r w:rsidRPr="00EA584F">
        <w:rPr>
          <w:rFonts w:eastAsia="Times New Roman" w:cstheme="minorHAnsi"/>
          <w:b/>
          <w:color w:val="000000"/>
          <w:sz w:val="20"/>
          <w:szCs w:val="20"/>
          <w:lang w:val="uk-UA" w:eastAsia="uk-UA"/>
        </w:rPr>
        <w:lastRenderedPageBreak/>
        <w:t>СПЕЦІАЛЬНИЙ ФОНД</w:t>
      </w:r>
    </w:p>
    <w:tbl>
      <w:tblPr>
        <w:tblStyle w:val="TableGrid1"/>
        <w:tblW w:w="9658" w:type="dxa"/>
        <w:tblInd w:w="4" w:type="dxa"/>
        <w:tblCellMar>
          <w:top w:w="0" w:type="dxa"/>
          <w:left w:w="23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1439"/>
        <w:gridCol w:w="4109"/>
        <w:gridCol w:w="1641"/>
        <w:gridCol w:w="1240"/>
        <w:gridCol w:w="1229"/>
      </w:tblGrid>
      <w:tr w:rsidR="00EA584F" w:rsidRPr="00EA584F" w14:paraId="6F3372C2" w14:textId="77777777" w:rsidTr="00911BB2">
        <w:trPr>
          <w:trHeight w:val="1112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E0147" w14:textId="77777777" w:rsidR="00EA584F" w:rsidRPr="00EA584F" w:rsidRDefault="00EA584F" w:rsidP="00EA584F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Код Типової програмної</w:t>
            </w:r>
          </w:p>
          <w:p w14:paraId="7493DD67" w14:textId="77777777" w:rsidR="00EA584F" w:rsidRPr="00EA584F" w:rsidRDefault="00EA584F" w:rsidP="00EA584F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класифікації видатків та</w:t>
            </w:r>
          </w:p>
          <w:p w14:paraId="67A1A5BC" w14:textId="77777777" w:rsidR="00EA584F" w:rsidRPr="00EA584F" w:rsidRDefault="00EA584F" w:rsidP="00EA584F">
            <w:pPr>
              <w:spacing w:line="259" w:lineRule="auto"/>
              <w:ind w:left="22" w:hanging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 місцевого бюджету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01E19" w14:textId="77777777" w:rsidR="00EA584F" w:rsidRPr="00EA584F" w:rsidRDefault="00EA584F" w:rsidP="00EA584F">
            <w:pPr>
              <w:spacing w:line="259" w:lineRule="auto"/>
              <w:ind w:right="2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Найменування видатків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C68581" w14:textId="1F2CE974" w:rsidR="00EA584F" w:rsidRPr="00EA584F" w:rsidRDefault="00EA584F" w:rsidP="00911BB2">
            <w:pPr>
              <w:spacing w:line="269" w:lineRule="auto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Затверджено розписом на 9 місяців 2021 року з урахуванням змін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C50BA" w14:textId="1904D718" w:rsidR="00EA584F" w:rsidRPr="00EA584F" w:rsidRDefault="00EA584F" w:rsidP="00911BB2">
            <w:pPr>
              <w:spacing w:line="259" w:lineRule="auto"/>
              <w:ind w:left="85" w:firstLine="86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Виконано за 9 місяців 2021 року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19F27" w14:textId="77777777" w:rsidR="00EA584F" w:rsidRPr="00EA584F" w:rsidRDefault="00EA584F" w:rsidP="00911BB2">
            <w:pPr>
              <w:spacing w:line="259" w:lineRule="auto"/>
              <w:ind w:left="78" w:hanging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% виконання до плану</w:t>
            </w:r>
          </w:p>
        </w:tc>
      </w:tr>
      <w:tr w:rsidR="00EA584F" w:rsidRPr="00EA584F" w14:paraId="4C8690CF" w14:textId="77777777" w:rsidTr="00911BB2">
        <w:trPr>
          <w:trHeight w:val="211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66348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B7CBA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Державне управління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CAE8E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16643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CE8AA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3FADE31B" w14:textId="77777777" w:rsidTr="00911BB2">
        <w:trPr>
          <w:trHeight w:val="375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16E20E0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900201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01CBF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БЕЗ УРАХУВАННЯ МІЖБЮДЖЕТНИХ ТРАНСФЕРТІВ </w:t>
            </w:r>
          </w:p>
          <w:p w14:paraId="0E8BB065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(СПЕЦІАЛЬНИЙ ФОНД)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FFAC07A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B6BB1E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573F3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12F2A3EF" w14:textId="77777777" w:rsidTr="00911BB2">
        <w:trPr>
          <w:trHeight w:val="369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EE54A2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900202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18BD1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УСЬОГО ВИДАТКІВ З ТРАНСФЕРТАМИ, ЩО ПЕРЕДАЮТЬСЯ ДО </w:t>
            </w:r>
          </w:p>
          <w:p w14:paraId="3DCD96E9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ДЕРЖАВНОГО БЮДЖЕТУ (СПЕЦІАЛЬНИЙ ФОНД) 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233526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BAB7BD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7ABB2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436767BE" w14:textId="77777777" w:rsidTr="00911BB2">
        <w:trPr>
          <w:trHeight w:val="198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7BA41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10C74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Міжбюджетні трансферти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7AADC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2B4BB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C38AE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7F4BDE06" w14:textId="77777777" w:rsidTr="00911BB2">
        <w:trPr>
          <w:trHeight w:val="276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103B984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900203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6F0E075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(СПЕЦІАЛЬНИЙ ФОНД):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1DFCABC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1716D29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56FB9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6E56C642" w14:textId="77777777" w:rsidTr="00911BB2">
        <w:trPr>
          <w:trHeight w:val="356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9199DF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8800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8C8C613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9637402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76657E8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C471755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EA584F" w:rsidRPr="00EA584F" w14:paraId="7D8C785D" w14:textId="77777777" w:rsidTr="00911BB2">
        <w:trPr>
          <w:trHeight w:val="355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200BC87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8831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D45E8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Надання довгострокових кредитів індивідуальним забудовникам житла на селі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7FBE55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BB58FAE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5F55E704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EA584F" w:rsidRPr="00EA584F" w14:paraId="19931210" w14:textId="77777777" w:rsidTr="00911BB2">
        <w:trPr>
          <w:trHeight w:val="356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F287EA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8832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4E6DC" w14:textId="77777777" w:rsidR="00EA584F" w:rsidRPr="00EA584F" w:rsidRDefault="00EA584F" w:rsidP="00EA584F">
            <w:pPr>
              <w:spacing w:line="259" w:lineRule="auto"/>
              <w:ind w:right="2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Повернення довгострокових кредитів, наданих індивідуальним забудовникам житла на селі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B29715F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-10 000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EF0F1E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123E849" w14:textId="77777777" w:rsidR="00EA584F" w:rsidRPr="00EA584F" w:rsidRDefault="00EA584F" w:rsidP="00EA584F">
            <w:pPr>
              <w:spacing w:line="259" w:lineRule="auto"/>
              <w:ind w:right="5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color w:val="000000"/>
                <w:sz w:val="20"/>
                <w:szCs w:val="20"/>
              </w:rPr>
              <w:t>-100,0</w:t>
            </w:r>
          </w:p>
        </w:tc>
      </w:tr>
      <w:tr w:rsidR="00EA584F" w:rsidRPr="00EA584F" w14:paraId="3F8F5918" w14:textId="77777777" w:rsidTr="00911BB2">
        <w:trPr>
          <w:trHeight w:val="355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8A59D" w14:textId="77777777" w:rsidR="00EA584F" w:rsidRPr="00EA584F" w:rsidRDefault="00EA584F" w:rsidP="00EA584F">
            <w:pPr>
              <w:spacing w:after="6" w:line="259" w:lineRule="auto"/>
              <w:ind w:right="9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900202 +</w:t>
            </w:r>
          </w:p>
          <w:p w14:paraId="44663B8C" w14:textId="77777777" w:rsidR="00EA584F" w:rsidRPr="00EA584F" w:rsidRDefault="00EA584F" w:rsidP="00EA584F">
            <w:pPr>
              <w:spacing w:line="259" w:lineRule="auto"/>
              <w:ind w:left="13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73697" w14:textId="77777777" w:rsidR="00EA584F" w:rsidRPr="00EA584F" w:rsidRDefault="00EA584F" w:rsidP="00EA584F">
            <w:pPr>
              <w:spacing w:after="6"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З ТРАНСФЕРТАМИ, ЩО ПЕРЕДАЮТЬСЯ ДО</w:t>
            </w:r>
          </w:p>
          <w:p w14:paraId="2CC5F255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МІСЦЕВИХ БЮДЖЕТІВ З КРЕДИТУВАННЯМ (СПЕЦІАЛЬНИЙ ФОНД):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0EE788D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93929D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C5F43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  <w:tr w:rsidR="00EA584F" w:rsidRPr="00EA584F" w14:paraId="6C19AC70" w14:textId="77777777" w:rsidTr="00911BB2">
        <w:trPr>
          <w:trHeight w:val="507"/>
        </w:trPr>
        <w:tc>
          <w:tcPr>
            <w:tcW w:w="1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9B9B1" w14:textId="77777777" w:rsidR="00EA584F" w:rsidRPr="00EA584F" w:rsidRDefault="00EA584F" w:rsidP="00EA584F">
            <w:pPr>
              <w:spacing w:after="6" w:line="259" w:lineRule="auto"/>
              <w:ind w:right="9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 xml:space="preserve">900203 + </w:t>
            </w:r>
          </w:p>
          <w:p w14:paraId="0235C28D" w14:textId="77777777" w:rsidR="00EA584F" w:rsidRPr="00EA584F" w:rsidRDefault="00EA584F" w:rsidP="00EA584F">
            <w:pPr>
              <w:spacing w:line="259" w:lineRule="auto"/>
              <w:ind w:left="13"/>
              <w:jc w:val="both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КРЕДИТУВАННЯ</w:t>
            </w:r>
          </w:p>
        </w:tc>
        <w:tc>
          <w:tcPr>
            <w:tcW w:w="4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3754974" w14:textId="77777777" w:rsidR="00EA584F" w:rsidRPr="00EA584F" w:rsidRDefault="00EA584F" w:rsidP="00EA584F">
            <w:pPr>
              <w:spacing w:line="259" w:lineRule="auto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УСЬОГО ВИДАТКІВ З КРЕДИТУВАННЯМ (СПЕЦІАЛЬНИЙ ФОНД):</w:t>
            </w:r>
          </w:p>
        </w:tc>
        <w:tc>
          <w:tcPr>
            <w:tcW w:w="1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58FC3C2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55A113" w14:textId="77777777" w:rsidR="00EA584F" w:rsidRPr="00EA584F" w:rsidRDefault="00EA584F" w:rsidP="00EA584F">
            <w:pPr>
              <w:spacing w:line="259" w:lineRule="auto"/>
              <w:ind w:right="12"/>
              <w:jc w:val="center"/>
              <w:rPr>
                <w:color w:val="000000"/>
                <w:sz w:val="20"/>
                <w:szCs w:val="20"/>
              </w:rPr>
            </w:pPr>
            <w:r w:rsidRPr="00EA584F">
              <w:rPr>
                <w:b/>
                <w:color w:val="000000"/>
                <w:sz w:val="20"/>
                <w:szCs w:val="20"/>
              </w:rPr>
              <w:t>293 999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12733" w14:textId="77777777" w:rsidR="00EA584F" w:rsidRPr="00EA584F" w:rsidRDefault="00EA584F" w:rsidP="00EA584F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B1BF845" w14:textId="77777777" w:rsidR="00CC5D26" w:rsidRDefault="00CC5D26" w:rsidP="00E73D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57D96DB" w14:textId="5ECADC0C" w:rsidR="00726BA5" w:rsidRDefault="00726BA5" w:rsidP="00726BA5">
      <w:pPr>
        <w:tabs>
          <w:tab w:val="center" w:pos="4911"/>
        </w:tabs>
        <w:spacing w:after="5" w:line="251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Заступник голови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</w:r>
    </w:p>
    <w:p w14:paraId="1CBECE2A" w14:textId="5102886A" w:rsidR="00CC5D26" w:rsidRPr="00726BA5" w:rsidRDefault="00A46DB3" w:rsidP="00726BA5">
      <w:pPr>
        <w:tabs>
          <w:tab w:val="center" w:pos="4911"/>
        </w:tabs>
        <w:spacing w:after="5" w:line="251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районної ради                      </w:t>
      </w:r>
      <w:r w:rsidR="00726BA5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</w:t>
      </w:r>
      <w:r w:rsidRPr="00A46DB3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Едуард СКЛЯРЕВСЬКИЙ</w:t>
      </w:r>
    </w:p>
    <w:p w14:paraId="64D3E27F" w14:textId="38D03BF1" w:rsidR="00A46DB3" w:rsidRDefault="00A46DB3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986A4A" w14:textId="1D32554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FE47B5" w14:textId="6C11A618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1DE186" w14:textId="2161C6CB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142FFD" w14:textId="44781586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DE82DB" w14:textId="6C4EE8D8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785C7" w14:textId="77777777" w:rsidR="00785CED" w:rsidRDefault="00785CED" w:rsidP="00785C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F32B95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71CF34BB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1418ED7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05355DA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EEE9429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15ADD948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64BB2E0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309E514D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0C1A0CAA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5278AE64" w14:textId="77777777" w:rsidR="00911BB2" w:rsidRDefault="00911BB2" w:rsidP="00785CED">
      <w:pPr>
        <w:spacing w:after="5" w:line="251" w:lineRule="auto"/>
        <w:ind w:right="693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4EFDAFDA" w14:textId="77777777" w:rsidR="003C7222" w:rsidRDefault="003C7222" w:rsidP="00911BB2">
      <w:pPr>
        <w:spacing w:after="42" w:line="248" w:lineRule="auto"/>
        <w:ind w:left="1104" w:right="115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687EB362" w14:textId="1BFCDED7" w:rsidR="00911BB2" w:rsidRPr="00911BB2" w:rsidRDefault="00911BB2" w:rsidP="00911BB2">
      <w:pPr>
        <w:spacing w:after="42" w:line="248" w:lineRule="auto"/>
        <w:ind w:left="1104" w:right="115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ПОЯСНЮВАЛЬНА ЗАПИСКА </w:t>
      </w:r>
    </w:p>
    <w:p w14:paraId="5FB49D54" w14:textId="1CB5FF7B" w:rsidR="00911BB2" w:rsidRPr="00911BB2" w:rsidRDefault="00A0244C" w:rsidP="00911BB2">
      <w:pPr>
        <w:spacing w:after="0" w:line="248" w:lineRule="auto"/>
        <w:ind w:left="1104" w:right="1149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до проєкту рішення «</w:t>
      </w:r>
      <w:r w:rsidR="00911BB2"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 затвердження звіту про виконання районного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бюджету за 9 місяців 2021 року»</w:t>
      </w:r>
      <w:r w:rsidR="00911BB2" w:rsidRPr="00911BB2">
        <w:rPr>
          <w:rFonts w:ascii="Calibri" w:eastAsia="Calibri" w:hAnsi="Calibri" w:cs="Calibri"/>
          <w:color w:val="000000"/>
          <w:lang w:val="uk-UA" w:eastAsia="uk-UA"/>
        </w:rPr>
        <w:t xml:space="preserve"> </w:t>
      </w:r>
    </w:p>
    <w:p w14:paraId="2F047A7B" w14:textId="77777777" w:rsidR="00911BB2" w:rsidRPr="00911BB2" w:rsidRDefault="00911BB2" w:rsidP="00911BB2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Calibri" w:eastAsia="Calibri" w:hAnsi="Calibri" w:cs="Calibri"/>
          <w:color w:val="000000"/>
          <w:lang w:val="uk-UA" w:eastAsia="uk-UA"/>
        </w:rPr>
        <w:t xml:space="preserve"> </w:t>
      </w:r>
    </w:p>
    <w:p w14:paraId="55F538AF" w14:textId="711A4255" w:rsidR="00911BB2" w:rsidRPr="00911BB2" w:rsidRDefault="00911BB2" w:rsidP="00911BB2">
      <w:pPr>
        <w:spacing w:after="4" w:line="261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Розробник проєкту рішення </w:t>
      </w:r>
      <w:r w:rsidR="00A0244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–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фінансовий відділ Кременчуцької районної державної адміністрації. Проєкт рішення є актом індивідуальної дії. </w:t>
      </w:r>
    </w:p>
    <w:p w14:paraId="3B8C656B" w14:textId="176FAE51" w:rsidR="00911BB2" w:rsidRPr="00911BB2" w:rsidRDefault="00911BB2" w:rsidP="00911BB2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141B9D87" w14:textId="77777777" w:rsidR="00911BB2" w:rsidRPr="00911BB2" w:rsidRDefault="00911BB2" w:rsidP="00911BB2">
      <w:pPr>
        <w:spacing w:after="4" w:line="261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Мета: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відповідно до Бюджетного кодексу України на розгляд сесії районної ради виноситься питання про затвердження звіту про виконання районного бюджету за 9 місяців 2021 року. </w:t>
      </w:r>
    </w:p>
    <w:p w14:paraId="2C5B1473" w14:textId="6CE544BD" w:rsidR="00911BB2" w:rsidRPr="00911BB2" w:rsidRDefault="00911BB2" w:rsidP="00CD24E2">
      <w:pPr>
        <w:spacing w:after="29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Підстава розроблення проєкту акта</w:t>
      </w:r>
    </w:p>
    <w:p w14:paraId="69546C9F" w14:textId="6F4B0366" w:rsidR="00911BB2" w:rsidRPr="00911BB2" w:rsidRDefault="00911BB2" w:rsidP="00CD24E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A0244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</w:t>
      </w:r>
      <w:r w:rsidR="00A0244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за 9 місяців 2021 року»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розроблено на підставі положень Бюджетного кодексу України. </w:t>
      </w:r>
    </w:p>
    <w:p w14:paraId="0A25A5B1" w14:textId="3C4EB653" w:rsidR="00911BB2" w:rsidRPr="00CD24E2" w:rsidRDefault="00CD24E2" w:rsidP="00CD24E2">
      <w:pPr>
        <w:spacing w:after="3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Обґрунтування</w:t>
      </w:r>
      <w:r w:rsidR="00911BB2"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необхідності прийняття акта</w:t>
      </w:r>
    </w:p>
    <w:p w14:paraId="7D913422" w14:textId="77777777" w:rsidR="00CD24E2" w:rsidRDefault="00911BB2" w:rsidP="00CD24E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 сесії ра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за 9 місяців 2021 року» зумовлюється дотриманням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вст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ановлених вимог законодавства. </w:t>
      </w:r>
    </w:p>
    <w:p w14:paraId="40619DB5" w14:textId="468A088B" w:rsidR="00911BB2" w:rsidRPr="00CD24E2" w:rsidRDefault="00911BB2" w:rsidP="00CD24E2">
      <w:pPr>
        <w:spacing w:after="4" w:line="261" w:lineRule="auto"/>
        <w:ind w:left="-15" w:right="48" w:firstLine="7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Суть проєкту акта</w:t>
      </w:r>
    </w:p>
    <w:p w14:paraId="1730995E" w14:textId="77777777" w:rsidR="00CD24E2" w:rsidRDefault="00911BB2" w:rsidP="00CD24E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бюджету за 9 місяців 2021 року»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підготовлено з метою ви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конання діючого законодавства.</w:t>
      </w:r>
    </w:p>
    <w:p w14:paraId="48006E23" w14:textId="3E787B52" w:rsidR="00911BB2" w:rsidRPr="00911BB2" w:rsidRDefault="00911BB2" w:rsidP="00CD24E2">
      <w:pPr>
        <w:spacing w:after="4" w:line="261" w:lineRule="auto"/>
        <w:ind w:left="-15" w:right="48" w:firstLine="7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Правові аспекти</w:t>
      </w:r>
    </w:p>
    <w:p w14:paraId="0A1C42EB" w14:textId="4DE82AEB" w:rsidR="00911BB2" w:rsidRPr="00911BB2" w:rsidRDefault="00911BB2" w:rsidP="00CD24E2">
      <w:pPr>
        <w:tabs>
          <w:tab w:val="center" w:pos="3373"/>
        </w:tabs>
        <w:spacing w:after="0" w:line="240" w:lineRule="auto"/>
        <w:ind w:left="-15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У даній сфері правового регулювання діють: </w:t>
      </w:r>
    </w:p>
    <w:p w14:paraId="793FF0FB" w14:textId="4C8D89E6" w:rsidR="00911BB2" w:rsidRPr="00911BB2" w:rsidRDefault="00CD24E2" w:rsidP="00CD24E2">
      <w:pPr>
        <w:spacing w:after="0" w:line="240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Бюджетний кодекс України (стаття 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80). </w:t>
      </w:r>
    </w:p>
    <w:p w14:paraId="250CD58E" w14:textId="6C5A1FAF" w:rsidR="00911BB2" w:rsidRPr="00911BB2" w:rsidRDefault="00CD24E2" w:rsidP="00CD24E2">
      <w:pPr>
        <w:spacing w:after="0" w:line="240" w:lineRule="auto"/>
        <w:ind w:left="-15" w:right="48" w:firstLine="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Закон України «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місцеве самоврядування в Украї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ні»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3D17F756" w14:textId="77777777" w:rsidR="00CD24E2" w:rsidRDefault="00911BB2" w:rsidP="00CD24E2">
      <w:pPr>
        <w:spacing w:after="0" w:line="240" w:lineRule="auto"/>
        <w:ind w:left="12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Квартальний звіт Управління Державної казначейської служби У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країни у Кременчуцькому районі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Про виконання місцевих бюджетів за 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9 місяців 2021 року»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7ECC447B" w14:textId="60FE9783" w:rsidR="00911BB2" w:rsidRPr="00911BB2" w:rsidRDefault="00911BB2" w:rsidP="00CD24E2">
      <w:pPr>
        <w:spacing w:after="0" w:line="240" w:lineRule="auto"/>
        <w:ind w:left="1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Фінансово-економічне обґрунтування</w:t>
      </w:r>
    </w:p>
    <w:p w14:paraId="39F8DF66" w14:textId="1F887E2A" w:rsidR="00911BB2" w:rsidRPr="00911BB2" w:rsidRDefault="00CD24E2" w:rsidP="00CD24E2">
      <w:pPr>
        <w:spacing w:after="0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CD24E2">
        <w:rPr>
          <w:rFonts w:ascii="Times New Roman" w:eastAsia="Times New Roman" w:hAnsi="Times New Roman" w:cs="Times New Roman"/>
          <w:sz w:val="28"/>
          <w:lang w:val="uk-UA" w:eastAsia="uk-UA"/>
        </w:rPr>
        <w:t>Р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айонний бюджет за 9 місяців 2021 року в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цілому по доходах з урахуванням міжбюджетних трансфертів виконаний на 100,6%. При уточненому плані 1 411 760 грн надійшло 1 419 840 грн, що на 8 080 грн більше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планов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показник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и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. </w:t>
      </w:r>
    </w:p>
    <w:p w14:paraId="1B9F2DD7" w14:textId="2078B6CF" w:rsidR="00911BB2" w:rsidRPr="00911BB2" w:rsidRDefault="00911BB2" w:rsidP="00CD24E2">
      <w:pPr>
        <w:spacing w:after="0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До загального фонду районного бюджету за звітний період з урахуванням міжбюджетних трансфертів надійшло 1 315 751 грн, при уточненому плані</w:t>
      </w:r>
      <w:r w:rsidR="00CD24E2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1 411 760 грн, що становить 93,2%, що менше на 96 009 грн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за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планові показники. </w:t>
      </w:r>
    </w:p>
    <w:p w14:paraId="44AE4628" w14:textId="1AD9DB18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До спеціального фонду 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районного бюджету надійшло 104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089 грн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що на 104 089 грн більше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за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планов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і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показник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и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.</w:t>
      </w:r>
      <w:r w:rsidRPr="00911BB2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</w:p>
    <w:p w14:paraId="6BE889E3" w14:textId="77777777" w:rsidR="003C722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Загальний план надходжень районного бюджету за 9 місяців 2021 року без урахування міжбюджетних трансфертів в</w:t>
      </w:r>
      <w:r w:rsidR="00CD24E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цілому виконаний н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 127,8%. </w:t>
      </w:r>
    </w:p>
    <w:p w14:paraId="0B3C1692" w14:textId="6D763BFF" w:rsidR="00911BB2" w:rsidRPr="00911BB2" w:rsidRDefault="0042320C" w:rsidP="003C7222">
      <w:pPr>
        <w:spacing w:after="4" w:line="261" w:lineRule="auto"/>
        <w:ind w:left="-15" w:right="48" w:firstLine="1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lastRenderedPageBreak/>
        <w:t>При плані 758 750 грн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надійшло 969 702 грн, в т.ч.: загальний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фонд виконано на 114,1 % (план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758 750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надійшло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865 612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перевиконання становить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106 862 грн) та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по спеціальному фонду надійшло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104 089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перевиконання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104 089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).</w:t>
      </w:r>
    </w:p>
    <w:p w14:paraId="1B3A8EEC" w14:textId="64BEDE0D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Надходження власних податків та зборів по загальному фонду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(865 012 грн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) більше плану звітного періоду на 115 262 грн, або на 15,4 відсоток.  </w:t>
      </w:r>
    </w:p>
    <w:p w14:paraId="3089A9D5" w14:textId="2F8265B4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Основним видом надходжень власних податків та зборів є адміністративні збори та платежі, доходи від некомерційної господарської діяльності, які у структурі уточненого плану по доходах загального фонду за звітний період становлять 82,7 відсотка. На звітну дату надійшло вищевказаних зборів та платежів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на суму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716 023 грн, що менше запланованих (748 750 грн) на 32 727 грн. Затверджений план виконано на 95,6 відсотка. </w:t>
      </w:r>
    </w:p>
    <w:p w14:paraId="2C452FC4" w14:textId="6BDC36BD" w:rsidR="00911BB2" w:rsidRPr="00911BB2" w:rsidRDefault="003C722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По коду доходів 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«Інші надходження»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надійшло незапланованих доходів в сумі 117 400 грн, 100 відсотків яких становить відшкодування за енергоносії та комунальні послуги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спожиті у минулому році.</w:t>
      </w:r>
      <w:r w:rsidR="00911BB2" w:rsidRPr="00911BB2">
        <w:rPr>
          <w:rFonts w:ascii="Times New Roman" w:eastAsia="Times New Roman" w:hAnsi="Times New Roman" w:cs="Times New Roman"/>
          <w:color w:val="FF0000"/>
          <w:sz w:val="24"/>
          <w:lang w:val="uk-UA" w:eastAsia="uk-UA"/>
        </w:rPr>
        <w:t xml:space="preserve"> </w:t>
      </w:r>
    </w:p>
    <w:p w14:paraId="2070A6C1" w14:textId="09955D0D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По загальному фонду видаткова частина районного бюджету з урахуванням міжбюджетних трансфертів за 9 місяців 2021 року в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цілому виконана до уточненого плану на 91,3 %. При плані – 8 981 403 грн, освоєно – 8 199 330 грн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, недоосвоєно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782 073 грн. </w:t>
      </w:r>
    </w:p>
    <w:p w14:paraId="1CB9FDC7" w14:textId="310F519D" w:rsidR="00911BB2" w:rsidRPr="00911BB2" w:rsidRDefault="0042320C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розрізі основних галузей бюджетної сфери обсяг видатків до плану становить: </w:t>
      </w:r>
    </w:p>
    <w:p w14:paraId="26496F98" w14:textId="3969E3F2" w:rsidR="00911BB2" w:rsidRPr="00911BB2" w:rsidRDefault="0042320C" w:rsidP="0042320C">
      <w:pPr>
        <w:spacing w:after="4" w:line="261" w:lineRule="auto"/>
        <w:ind w:left="709" w:right="279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державне управління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6 724 683 грн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(92,5%); освіта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744 859</w:t>
      </w:r>
      <w:r w:rsidR="00911BB2" w:rsidRPr="00911BB2">
        <w:rPr>
          <w:rFonts w:ascii="Times New Roman" w:eastAsia="Times New Roman" w:hAnsi="Times New Roman" w:cs="Times New Roman"/>
          <w:b/>
          <w:color w:val="000000"/>
          <w:sz w:val="30"/>
          <w:lang w:val="uk-UA" w:eastAsia="uk-UA"/>
        </w:rPr>
        <w:t xml:space="preserve"> 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грн (98,1%); </w:t>
      </w:r>
    </w:p>
    <w:p w14:paraId="6A4AEBD0" w14:textId="79F3AA12" w:rsidR="00911BB2" w:rsidRPr="00911BB2" w:rsidRDefault="00911BB2" w:rsidP="0042320C">
      <w:pPr>
        <w:spacing w:after="4" w:line="261" w:lineRule="auto"/>
        <w:ind w:left="709" w:right="4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соціальний за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хист та соціальне забезпечення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370 687 грн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(63,8%); культура і мистецтво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343 301</w:t>
      </w:r>
      <w:r w:rsidRPr="00911BB2">
        <w:rPr>
          <w:rFonts w:ascii="Times New Roman" w:eastAsia="Times New Roman" w:hAnsi="Times New Roman" w:cs="Times New Roman"/>
          <w:color w:val="000000"/>
          <w:sz w:val="30"/>
          <w:lang w:val="uk-UA" w:eastAsia="uk-UA"/>
        </w:rPr>
        <w:t xml:space="preserve">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грн (97,6%).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ab/>
        <w:t xml:space="preserve"> </w:t>
      </w:r>
    </w:p>
    <w:p w14:paraId="3FA8485C" w14:textId="77777777" w:rsidR="0042320C" w:rsidRDefault="0042320C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20CCBFAE" w14:textId="13D0786A" w:rsidR="00911BB2" w:rsidRPr="00911BB2" w:rsidRDefault="00911BB2" w:rsidP="00911BB2">
      <w:pPr>
        <w:spacing w:after="4" w:line="261" w:lineRule="auto"/>
        <w:ind w:left="-15" w:right="48"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Фінансування головних розпорядників коштів районного бюджету здійснювалося відповідно до помісячного розпису асигнувань бюджету з урахуванням змін в межах зареєстрованих фінансових зобов’язань.  </w:t>
      </w:r>
    </w:p>
    <w:p w14:paraId="69E24196" w14:textId="380548E6" w:rsidR="00911BB2" w:rsidRPr="00911BB2" w:rsidRDefault="0042320C" w:rsidP="00911BB2">
      <w:pPr>
        <w:spacing w:after="4" w:line="261" w:lineRule="auto"/>
        <w:ind w:left="-15" w:right="48"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першу чергу кошти загального фонду спрямовувались на захищені статті видатків, а саме: </w:t>
      </w:r>
    </w:p>
    <w:p w14:paraId="27FB0D5B" w14:textId="71A5D33E" w:rsidR="00911BB2" w:rsidRPr="00911BB2" w:rsidRDefault="0042320C" w:rsidP="00911BB2">
      <w:pPr>
        <w:numPr>
          <w:ilvl w:val="0"/>
          <w:numId w:val="6"/>
        </w:numPr>
        <w:spacing w:after="4" w:line="261" w:lineRule="auto"/>
        <w:ind w:right="48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оплату праці з нарахуваннями –</w:t>
      </w:r>
      <w:r w:rsidR="00911BB2"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7 245 973 грн; </w:t>
      </w:r>
    </w:p>
    <w:p w14:paraId="653C2B2E" w14:textId="0DC33AD0" w:rsidR="00911BB2" w:rsidRPr="00911BB2" w:rsidRDefault="00911BB2" w:rsidP="00911BB2">
      <w:pPr>
        <w:numPr>
          <w:ilvl w:val="0"/>
          <w:numId w:val="6"/>
        </w:numPr>
        <w:spacing w:after="4" w:line="261" w:lineRule="auto"/>
        <w:ind w:right="48" w:hanging="16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оплату комунал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ьних послуг та енергоносіїв –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294 729 грн.</w:t>
      </w:r>
      <w:r w:rsidRPr="00911BB2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</w:p>
    <w:p w14:paraId="50517CB8" w14:textId="77777777" w:rsidR="00911BB2" w:rsidRPr="00911BB2" w:rsidRDefault="00911BB2" w:rsidP="00911BB2">
      <w:pPr>
        <w:spacing w:after="25" w:line="259" w:lineRule="auto"/>
        <w:ind w:left="720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FF0000"/>
          <w:sz w:val="28"/>
          <w:lang w:val="uk-UA" w:eastAsia="uk-UA"/>
        </w:rPr>
        <w:t xml:space="preserve"> </w:t>
      </w:r>
    </w:p>
    <w:p w14:paraId="02DEE096" w14:textId="77777777" w:rsidR="0042320C" w:rsidRDefault="00911BB2" w:rsidP="0042320C">
      <w:pPr>
        <w:spacing w:after="0" w:line="259" w:lineRule="auto"/>
        <w:ind w:left="385" w:right="22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Заборгованість по захищени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х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стаття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х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за 9 місяців 2021 року відсутня.</w:t>
      </w:r>
      <w:r w:rsidRPr="00911BB2">
        <w:rPr>
          <w:rFonts w:ascii="Times New Roman" w:eastAsia="Times New Roman" w:hAnsi="Times New Roman" w:cs="Times New Roman"/>
          <w:color w:val="000000"/>
          <w:sz w:val="24"/>
          <w:lang w:val="uk-UA" w:eastAsia="uk-UA"/>
        </w:rPr>
        <w:t xml:space="preserve"> </w:t>
      </w:r>
    </w:p>
    <w:p w14:paraId="0C138BB5" w14:textId="3D4DAFF9" w:rsidR="00911BB2" w:rsidRPr="0042320C" w:rsidRDefault="00911BB2" w:rsidP="0042320C">
      <w:pPr>
        <w:spacing w:after="0" w:line="259" w:lineRule="auto"/>
        <w:ind w:left="385" w:right="22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впливу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</w:t>
      </w:r>
    </w:p>
    <w:p w14:paraId="6EDC8F43" w14:textId="7A2CDE80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Прийняття проєкту рішення 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враховує виконання районного бюджету за відповідний період, згідно звіту Державної казначейської служби України про виконання місцевих бюджетів за 9 місяців 2021 року.</w:t>
      </w: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2660DFCB" w14:textId="77777777" w:rsidR="003C7222" w:rsidRDefault="003C722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5AB5A92D" w14:textId="77777777" w:rsidR="003C7222" w:rsidRDefault="003C722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</w:p>
    <w:p w14:paraId="48201500" w14:textId="3B8AE666" w:rsidR="00911BB2" w:rsidRPr="00911BB2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bookmarkStart w:id="0" w:name="_GoBack"/>
      <w:bookmarkEnd w:id="0"/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сторін</w:t>
      </w:r>
    </w:p>
    <w:p w14:paraId="3ADF2162" w14:textId="77777777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не потребує проведення консультацій із заінтересованими сторонами.</w:t>
      </w: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 xml:space="preserve"> </w:t>
      </w:r>
    </w:p>
    <w:p w14:paraId="25F051F7" w14:textId="1D106F24" w:rsidR="00911BB2" w:rsidRPr="0042320C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Громадське обговорення</w:t>
      </w:r>
    </w:p>
    <w:p w14:paraId="46DB345F" w14:textId="77777777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» 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оприлюднено на офіційному сайті районної ради. </w:t>
      </w:r>
    </w:p>
    <w:p w14:paraId="2674329C" w14:textId="6274FA6D" w:rsidR="00911BB2" w:rsidRPr="0042320C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Позиція заінтересованих органів</w:t>
      </w:r>
    </w:p>
    <w:p w14:paraId="0D0CDEE0" w14:textId="77777777" w:rsidR="0042320C" w:rsidRDefault="00911BB2" w:rsidP="0042320C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безпосередньо не стосується сфери компетенції інших органів. </w:t>
      </w:r>
    </w:p>
    <w:p w14:paraId="7F3553D5" w14:textId="710F7746" w:rsidR="00911BB2" w:rsidRPr="0042320C" w:rsidRDefault="00911BB2" w:rsidP="0042320C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дискримінації</w:t>
      </w:r>
    </w:p>
    <w:p w14:paraId="52E6AC87" w14:textId="77777777" w:rsidR="003C7222" w:rsidRDefault="00911BB2" w:rsidP="003C722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 проєкті рішення сесії ра</w:t>
      </w:r>
      <w:r w:rsidR="0042320C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положення, які містять ознаки дискримінації. </w:t>
      </w:r>
    </w:p>
    <w:p w14:paraId="3D810298" w14:textId="7675A243" w:rsidR="00911BB2" w:rsidRPr="003C7222" w:rsidRDefault="00911BB2" w:rsidP="003C7222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Запобігання корупції</w:t>
      </w:r>
    </w:p>
    <w:p w14:paraId="332D2832" w14:textId="77777777" w:rsidR="003C7222" w:rsidRDefault="00911BB2" w:rsidP="003C722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У проєкті рішення сесії ра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відсутні правила і процедури, які можуть містити ризики вчинення корупційних правопорушень. </w:t>
      </w:r>
    </w:p>
    <w:p w14:paraId="7D57AAAB" w14:textId="666BDEF4" w:rsidR="00911BB2" w:rsidRPr="003C7222" w:rsidRDefault="00911BB2" w:rsidP="003C7222">
      <w:pPr>
        <w:spacing w:after="4" w:line="261" w:lineRule="auto"/>
        <w:ind w:left="-15" w:right="48" w:firstLine="724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  <w:t>Прогноз результатів</w:t>
      </w:r>
    </w:p>
    <w:p w14:paraId="2C155D74" w14:textId="63006649" w:rsidR="00911BB2" w:rsidRPr="00911BB2" w:rsidRDefault="00911BB2" w:rsidP="003C7222">
      <w:pPr>
        <w:spacing w:after="4" w:line="261" w:lineRule="auto"/>
        <w:ind w:left="-15" w:right="48" w:firstLine="724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Проєкт рішення сесії ра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йонної ради восьмого скликання «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Про затвердження звіту про виконання районного бюджету за 9 місяців 2021 року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»</w:t>
      </w:r>
      <w:r w:rsidRPr="00911BB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є виконанням статті 80 Бюджетного Кодексу України. </w:t>
      </w:r>
    </w:p>
    <w:p w14:paraId="71C705AE" w14:textId="2160EC24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1E4FF0F4" w14:textId="7BDB8C3D" w:rsidR="003C7222" w:rsidRDefault="003C7222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30A00AEE" w14:textId="77777777" w:rsidR="003C7222" w:rsidRDefault="003C7222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</w:p>
    <w:p w14:paraId="57A34CA6" w14:textId="77777777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Н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ачальник фін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ансового відділу </w:t>
      </w:r>
    </w:p>
    <w:p w14:paraId="25DD8249" w14:textId="77777777" w:rsidR="00E85513" w:rsidRDefault="00E85513" w:rsidP="00E85513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Кременчуцької </w:t>
      </w: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районної </w:t>
      </w:r>
    </w:p>
    <w:p w14:paraId="744B22A1" w14:textId="45406011" w:rsidR="003B788D" w:rsidRDefault="00E85513" w:rsidP="006F3155">
      <w:pPr>
        <w:spacing w:after="5" w:line="251" w:lineRule="auto"/>
        <w:ind w:right="693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uk-UA"/>
        </w:rPr>
      </w:pPr>
      <w:r w:rsidRPr="00785CED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>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</w:t>
      </w:r>
      <w:r w:rsidR="003C7222"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uk-UA"/>
        </w:rPr>
        <w:t xml:space="preserve">                                 Ольга БОНДАРЕНКО</w:t>
      </w:r>
    </w:p>
    <w:sectPr w:rsidR="003B788D" w:rsidSect="003C7222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49BC6" w14:textId="77777777" w:rsidR="00F904EB" w:rsidRDefault="00F904EB" w:rsidP="00C57F84">
      <w:pPr>
        <w:spacing w:after="0" w:line="240" w:lineRule="auto"/>
      </w:pPr>
      <w:r>
        <w:separator/>
      </w:r>
    </w:p>
  </w:endnote>
  <w:endnote w:type="continuationSeparator" w:id="0">
    <w:p w14:paraId="5EC6DA9B" w14:textId="77777777" w:rsidR="00F904EB" w:rsidRDefault="00F904EB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FC81C" w14:textId="77777777" w:rsidR="00F904EB" w:rsidRDefault="00F904EB" w:rsidP="00C57F84">
      <w:pPr>
        <w:spacing w:after="0" w:line="240" w:lineRule="auto"/>
      </w:pPr>
      <w:r>
        <w:separator/>
      </w:r>
    </w:p>
  </w:footnote>
  <w:footnote w:type="continuationSeparator" w:id="0">
    <w:p w14:paraId="2F056787" w14:textId="77777777" w:rsidR="00F904EB" w:rsidRDefault="00F904EB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BB1FF4"/>
    <w:multiLevelType w:val="hybridMultilevel"/>
    <w:tmpl w:val="2D848376"/>
    <w:lvl w:ilvl="0" w:tplc="EB941304">
      <w:start w:val="1"/>
      <w:numFmt w:val="bullet"/>
      <w:lvlText w:val="-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9C405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43AD2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6D9D4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4696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40436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4FE82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384C50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407A46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5318"/>
    <w:rsid w:val="00015564"/>
    <w:rsid w:val="00067826"/>
    <w:rsid w:val="00072678"/>
    <w:rsid w:val="00076D7F"/>
    <w:rsid w:val="000B0037"/>
    <w:rsid w:val="000F704D"/>
    <w:rsid w:val="001176B9"/>
    <w:rsid w:val="00130137"/>
    <w:rsid w:val="0015288F"/>
    <w:rsid w:val="00195EC3"/>
    <w:rsid w:val="001D207B"/>
    <w:rsid w:val="001F58AC"/>
    <w:rsid w:val="001F7F45"/>
    <w:rsid w:val="0020632E"/>
    <w:rsid w:val="00270A82"/>
    <w:rsid w:val="00280E0B"/>
    <w:rsid w:val="002856E4"/>
    <w:rsid w:val="002C07C8"/>
    <w:rsid w:val="002D28DC"/>
    <w:rsid w:val="00311333"/>
    <w:rsid w:val="00380576"/>
    <w:rsid w:val="003B788D"/>
    <w:rsid w:val="003C7222"/>
    <w:rsid w:val="0042320C"/>
    <w:rsid w:val="00437BC5"/>
    <w:rsid w:val="004523F5"/>
    <w:rsid w:val="0050382C"/>
    <w:rsid w:val="00510ED7"/>
    <w:rsid w:val="005165DE"/>
    <w:rsid w:val="005266A0"/>
    <w:rsid w:val="00535845"/>
    <w:rsid w:val="00543670"/>
    <w:rsid w:val="00565905"/>
    <w:rsid w:val="005702DB"/>
    <w:rsid w:val="005864A4"/>
    <w:rsid w:val="005D094B"/>
    <w:rsid w:val="005E0030"/>
    <w:rsid w:val="005E572C"/>
    <w:rsid w:val="005E665E"/>
    <w:rsid w:val="00600B9B"/>
    <w:rsid w:val="006036BE"/>
    <w:rsid w:val="00654A5D"/>
    <w:rsid w:val="0068678B"/>
    <w:rsid w:val="00692F2F"/>
    <w:rsid w:val="006D641B"/>
    <w:rsid w:val="006F3155"/>
    <w:rsid w:val="00705A90"/>
    <w:rsid w:val="007206EC"/>
    <w:rsid w:val="00726BA5"/>
    <w:rsid w:val="007423B2"/>
    <w:rsid w:val="00744781"/>
    <w:rsid w:val="00772F9A"/>
    <w:rsid w:val="007828A6"/>
    <w:rsid w:val="00785CED"/>
    <w:rsid w:val="007920DD"/>
    <w:rsid w:val="00793068"/>
    <w:rsid w:val="007C11B1"/>
    <w:rsid w:val="007E20FC"/>
    <w:rsid w:val="008064B5"/>
    <w:rsid w:val="0081453C"/>
    <w:rsid w:val="008521F9"/>
    <w:rsid w:val="00871237"/>
    <w:rsid w:val="008A03ED"/>
    <w:rsid w:val="008A6899"/>
    <w:rsid w:val="00911BB2"/>
    <w:rsid w:val="009132C8"/>
    <w:rsid w:val="00922E74"/>
    <w:rsid w:val="00963B9F"/>
    <w:rsid w:val="0097330A"/>
    <w:rsid w:val="009858D1"/>
    <w:rsid w:val="009864FA"/>
    <w:rsid w:val="00996942"/>
    <w:rsid w:val="009B5318"/>
    <w:rsid w:val="009E7AC6"/>
    <w:rsid w:val="009F2A5E"/>
    <w:rsid w:val="00A0244C"/>
    <w:rsid w:val="00A06EC1"/>
    <w:rsid w:val="00A232FA"/>
    <w:rsid w:val="00A376EE"/>
    <w:rsid w:val="00A46DB3"/>
    <w:rsid w:val="00A47B4F"/>
    <w:rsid w:val="00A6732B"/>
    <w:rsid w:val="00A73AEE"/>
    <w:rsid w:val="00AB12D5"/>
    <w:rsid w:val="00AF3D16"/>
    <w:rsid w:val="00B2459B"/>
    <w:rsid w:val="00B4731F"/>
    <w:rsid w:val="00B828EE"/>
    <w:rsid w:val="00BD7B12"/>
    <w:rsid w:val="00BE1321"/>
    <w:rsid w:val="00C41E0C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C5D26"/>
    <w:rsid w:val="00CD24E2"/>
    <w:rsid w:val="00CF41FF"/>
    <w:rsid w:val="00D068ED"/>
    <w:rsid w:val="00D10B03"/>
    <w:rsid w:val="00D571D0"/>
    <w:rsid w:val="00D94148"/>
    <w:rsid w:val="00DC13CA"/>
    <w:rsid w:val="00DD4614"/>
    <w:rsid w:val="00E73D7A"/>
    <w:rsid w:val="00E85513"/>
    <w:rsid w:val="00EA02C2"/>
    <w:rsid w:val="00EA584F"/>
    <w:rsid w:val="00EB7329"/>
    <w:rsid w:val="00EC1257"/>
    <w:rsid w:val="00EF06DC"/>
    <w:rsid w:val="00F2560E"/>
    <w:rsid w:val="00F372F4"/>
    <w:rsid w:val="00F4158B"/>
    <w:rsid w:val="00F803AA"/>
    <w:rsid w:val="00F83636"/>
    <w:rsid w:val="00F904EB"/>
    <w:rsid w:val="00F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8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46DB3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A58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58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Grid1"/>
    <w:rsid w:val="00EA584F"/>
    <w:pPr>
      <w:spacing w:after="0" w:line="240" w:lineRule="auto"/>
    </w:pPr>
    <w:rPr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FC99-9A08-40E9-B2ED-9C930871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7</Pages>
  <Words>8282</Words>
  <Characters>4722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Верховец</cp:lastModifiedBy>
  <cp:revision>75</cp:revision>
  <cp:lastPrinted>2025-03-19T14:47:00Z</cp:lastPrinted>
  <dcterms:created xsi:type="dcterms:W3CDTF">2017-06-27T05:43:00Z</dcterms:created>
  <dcterms:modified xsi:type="dcterms:W3CDTF">2025-04-03T06:35:00Z</dcterms:modified>
</cp:coreProperties>
</file>