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1BD21522" w:rsidR="0031133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lang w:val="uk-UA"/>
        </w:rPr>
        <w:tab/>
      </w:r>
      <w:r w:rsidR="00535845">
        <w:rPr>
          <w:lang w:val="uk-UA"/>
        </w:rPr>
        <w:t xml:space="preserve">  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05180755" r:id="rId9"/>
        </w:objec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</w:t>
      </w:r>
      <w:r w:rsidR="00311333"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10DE6B2B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DD4614">
        <w:rPr>
          <w:rFonts w:ascii="Times New Roman" w:hAnsi="Times New Roman" w:cs="Times New Roman"/>
          <w:b/>
          <w:sz w:val="28"/>
          <w:szCs w:val="28"/>
          <w:lang w:val="uk-UA"/>
        </w:rPr>
        <w:t>два</w:t>
      </w:r>
      <w:r w:rsidR="00B2459B">
        <w:rPr>
          <w:rFonts w:ascii="Times New Roman" w:hAnsi="Times New Roman" w:cs="Times New Roman"/>
          <w:b/>
          <w:sz w:val="28"/>
          <w:szCs w:val="28"/>
          <w:lang w:val="uk-UA"/>
        </w:rPr>
        <w:t>надцята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03AAB35C" w14:textId="77777777" w:rsidR="00EA584F" w:rsidRDefault="009B5318" w:rsidP="00EA584F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57C57051" w14:textId="77777777" w:rsidR="00EA584F" w:rsidRDefault="00EA584F" w:rsidP="00EA584F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A54A494" w14:textId="77777777" w:rsidR="003B7401" w:rsidRPr="003B7401" w:rsidRDefault="003B7401" w:rsidP="003B7401">
      <w:pPr>
        <w:keepNext/>
        <w:keepLines/>
        <w:spacing w:after="0" w:line="271" w:lineRule="auto"/>
        <w:ind w:left="-5" w:right="4860" w:hanging="1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3B7401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Про списання дебіторської заборгованості районного бюджету Кременчуцького району</w:t>
      </w:r>
      <w:r w:rsidRPr="003B7401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 xml:space="preserve"> </w:t>
      </w:r>
    </w:p>
    <w:p w14:paraId="69F0E7C2" w14:textId="6AE30808" w:rsidR="00EA584F" w:rsidRPr="00EA584F" w:rsidRDefault="00EA584F" w:rsidP="00EA584F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38A91769" w14:textId="77777777" w:rsidR="009E7AC6" w:rsidRPr="00793068" w:rsidRDefault="009E7AC6" w:rsidP="00793068">
      <w:pPr>
        <w:spacing w:after="0" w:line="240" w:lineRule="auto"/>
        <w:ind w:right="5073"/>
        <w:rPr>
          <w:rFonts w:ascii="Times New Roman" w:hAnsi="Times New Roman" w:cs="Times New Roman"/>
          <w:sz w:val="28"/>
          <w:szCs w:val="28"/>
          <w:lang w:val="uk-UA"/>
        </w:rPr>
      </w:pPr>
    </w:p>
    <w:p w14:paraId="05252A3B" w14:textId="77777777" w:rsidR="00E73D7A" w:rsidRPr="00E73D7A" w:rsidRDefault="00E73D7A" w:rsidP="00E73D7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8"/>
          <w:lang w:val="uk-UA" w:eastAsia="ar-SA"/>
        </w:rPr>
      </w:pP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uk-UA" w:eastAsia="ar-SA"/>
        </w:rPr>
        <w:t>16310200000</w:t>
      </w: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uk-UA" w:eastAsia="ar-SA"/>
        </w:rPr>
        <w:br/>
      </w: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(код бюджету)</w:t>
      </w:r>
    </w:p>
    <w:p w14:paraId="7DD1D0CD" w14:textId="585A512F" w:rsidR="00E73D7A" w:rsidRDefault="00E73D7A" w:rsidP="00E73D7A">
      <w:pPr>
        <w:suppressAutoHyphens/>
        <w:spacing w:after="0" w:line="240" w:lineRule="auto"/>
        <w:ind w:right="5199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BE96DB7" w14:textId="77777777" w:rsidR="00C46625" w:rsidRPr="00E73D7A" w:rsidRDefault="00C46625" w:rsidP="00E73D7A">
      <w:pPr>
        <w:suppressAutoHyphens/>
        <w:spacing w:after="0" w:line="240" w:lineRule="auto"/>
        <w:ind w:right="5199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5445197" w14:textId="287A38E4" w:rsidR="00E73D7A" w:rsidRDefault="00E73D7A" w:rsidP="00E73D7A">
      <w:pPr>
        <w:suppressAutoHyphens/>
        <w:spacing w:before="120"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3D7A"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  <w:tab/>
      </w:r>
      <w:r w:rsidR="00932721" w:rsidRP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Керую</w:t>
      </w:r>
      <w:r w:rsid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чись статтею 43 Закону України «</w:t>
      </w:r>
      <w:r w:rsidR="00932721" w:rsidRP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м</w:t>
      </w:r>
      <w:r w:rsid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ісцеве самоврядування в Україні»</w:t>
      </w:r>
      <w:r w:rsidR="00932721" w:rsidRP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відповідно </w:t>
      </w:r>
      <w:r w:rsid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 </w:t>
      </w:r>
      <w:r w:rsidR="00932721" w:rsidRP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Бюджетного кодексу України, Закону України «Про врегулювання заборгованості за вкладами фізичних осіб-вкладників та інших кредиторів Акціонерного комерційного агропромислового банку «Україна» </w:t>
      </w:r>
      <w:r w:rsid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</w:t>
      </w:r>
      <w:r w:rsidR="00932721" w:rsidRP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зі змінами та доповненнями</w:t>
      </w:r>
      <w:r w:rsid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  <w:r w:rsidR="00932721" w:rsidRP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Положення про інвентаризацію активів та зобов’язань</w:t>
      </w:r>
      <w:r w:rsid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932721" w:rsidRP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затвердженого Наказом Міністерства фінансів України від 02.09.2014 року № 879, листа Національного банку України від 16.04.2009 року № 44-012/4506 «Про виключення банку «Україна» з Державного реєстру банків» та, зважаючи на те, що процедура ліквідації Акціонерного комерційного агропромислового банку «</w:t>
      </w:r>
      <w:r w:rsid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Україна»</w:t>
      </w:r>
      <w:r w:rsidR="00932721" w:rsidRPr="009327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(код ЄДРПОУ 00039025) відповідно до Закону України «Про продовження процедури ліквідації Акціонерного комерційного агропромислового банку «Україна» закінчи</w:t>
      </w:r>
      <w:r w:rsidR="00640EB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лась 01 січня 2009 року,</w:t>
      </w:r>
    </w:p>
    <w:p w14:paraId="44AAD5BA" w14:textId="77777777" w:rsidR="00E73D7A" w:rsidRPr="00E73D7A" w:rsidRDefault="00E73D7A" w:rsidP="00E73D7A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8FAF747" w14:textId="1DA18A20" w:rsidR="00E73D7A" w:rsidRDefault="003C7222" w:rsidP="00E73D7A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районна рада </w:t>
      </w:r>
      <w:r w:rsidR="00E73D7A" w:rsidRPr="00E73D7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вирішила:</w:t>
      </w:r>
    </w:p>
    <w:p w14:paraId="593CAB4A" w14:textId="77777777" w:rsidR="00D3264F" w:rsidRPr="00E73D7A" w:rsidRDefault="00D3264F" w:rsidP="00E73D7A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D2BAF9B" w14:textId="65E6273F" w:rsidR="00D3264F" w:rsidRDefault="00D3264F" w:rsidP="00D326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1.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Списати з балансу районного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бюджету Кременчуцького району 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безнадійну дебіторську заборгованість </w:t>
      </w:r>
      <w:r w:rsidR="00E5467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сумі 399 079 грн</w:t>
      </w:r>
      <w:r w:rsidR="00E5467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81 коп. (триста дев’яносто дев’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ять тисяч сімд</w:t>
      </w:r>
      <w:r w:rsidR="00E5467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есят дев’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ять гривень 81 коп.), у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тому числі за загальним фондом –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369 950 грн</w:t>
      </w:r>
      <w:r w:rsidR="00E5467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81 коп. (триста шістдесят дев’ять тисяч дев’ятсот п’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ятдесят гривень 81 коп.) та спеціальним фо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ндом –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29 129 грн</w:t>
      </w:r>
      <w:r w:rsidR="00E5467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(двадцять дев’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ять тисяч сто двадцять дев’ять гривень 00 коп.) у зв’язку з тим, що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строк позовної давності минув</w:t>
      </w:r>
      <w:r w:rsidR="00E5467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та відсутністю ліквідатора </w:t>
      </w:r>
      <w:r w:rsidR="00F4421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– </w:t>
      </w:r>
      <w:r w:rsidR="00F4421B"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Акціонерного комерційного агропромислового 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банку «Україна». </w:t>
      </w:r>
    </w:p>
    <w:p w14:paraId="0121150A" w14:textId="77777777" w:rsidR="00C46625" w:rsidRPr="00D3264F" w:rsidRDefault="00C46625" w:rsidP="00D326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32128957" w14:textId="05CF0283" w:rsidR="00B2459B" w:rsidRDefault="00D3264F" w:rsidP="00D32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2.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Організацію виконання цього рішення покласти на фінансовий відділ Кременчуцької районної державної адміністрації</w:t>
      </w:r>
      <w:r w:rsid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(Ольгу БОНДАРЕНКО)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, контроль за 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його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виконанням </w:t>
      </w:r>
      <w:r w:rsidRPr="00D326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– на постійну комісію Кременчуцької районної ради з питань бюджету, соціально-економічного розвитку, регуляторної політики та інвестиційної діяльності.</w:t>
      </w:r>
    </w:p>
    <w:p w14:paraId="375A01FB" w14:textId="130AC6EA" w:rsid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7DB27C" w14:textId="343510B8" w:rsid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CF3C3B" w14:textId="77777777" w:rsidR="00E73D7A" w:rsidRP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4A52C3" w14:textId="7B34C265" w:rsidR="00D10B03" w:rsidRPr="00A06EC1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A06EC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Голова </w:t>
      </w:r>
    </w:p>
    <w:p w14:paraId="2EE83D58" w14:textId="61F8FAB9" w:rsidR="00D10B03" w:rsidRPr="00A06EC1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6EC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районної ради 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535845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A06EC1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12880D78" w14:textId="5A872723" w:rsidR="002856E4" w:rsidRDefault="009B5318" w:rsidP="00C46625">
      <w:pPr>
        <w:spacing w:after="0" w:line="240" w:lineRule="auto"/>
        <w:ind w:left="360" w:firstLine="34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DDE82DB" w14:textId="6C4EE8D8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4785C7" w14:textId="77777777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F32B95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71CF34BB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1418ED7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05355DA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1EEE9429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15ADD948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64BB2E0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09E514D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0C1A0CAA" w14:textId="7D03A895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10675EE2" w14:textId="68AFB63A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7EEBCC4" w14:textId="5CCC820B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2CA5CDD8" w14:textId="6FD695E2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1640E4B5" w14:textId="5292B2EB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60E6BFEE" w14:textId="0F5DF025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21D27763" w14:textId="223AD06E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455AE008" w14:textId="4A51651A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2FA07A40" w14:textId="3A7EC0FE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2BBE9EA6" w14:textId="4AD91FFE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06AD3D60" w14:textId="3F184725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216E23EB" w14:textId="1964C12B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49535D72" w14:textId="1E34BB8D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680BE198" w14:textId="2ADA681A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17D865CB" w14:textId="63C5E700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A3BC511" w14:textId="2203DD64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0951125C" w14:textId="0639FC69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79950954" w14:textId="6593DCC4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748931C7" w14:textId="4E4792AF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2AD312ED" w14:textId="7E89CF48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07E1FE69" w14:textId="03E9C25D" w:rsidR="00C46625" w:rsidRDefault="00C46625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9D21073" w14:textId="4ACDDB20" w:rsidR="00C46625" w:rsidRDefault="00C46625" w:rsidP="00934B52">
      <w:pPr>
        <w:spacing w:after="5" w:line="251" w:lineRule="auto"/>
        <w:ind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5278AE64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17B5355" w14:textId="77777777" w:rsidR="00C46625" w:rsidRPr="00C46625" w:rsidRDefault="00C46625" w:rsidP="00C46625">
      <w:pPr>
        <w:spacing w:after="42" w:line="251" w:lineRule="auto"/>
        <w:ind w:left="836" w:right="1394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ПОЯСНЮВАЛЬНА ЗАПИСКА </w:t>
      </w:r>
    </w:p>
    <w:p w14:paraId="12943F24" w14:textId="77777777" w:rsidR="00C46625" w:rsidRDefault="00C46625" w:rsidP="00C46625">
      <w:pPr>
        <w:spacing w:after="0" w:line="251" w:lineRule="auto"/>
        <w:ind w:left="836" w:right="132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до проєкту рішення </w:t>
      </w:r>
    </w:p>
    <w:p w14:paraId="28FC95F8" w14:textId="77777777" w:rsidR="00C46625" w:rsidRDefault="00C46625" w:rsidP="00C46625">
      <w:pPr>
        <w:spacing w:after="0" w:line="251" w:lineRule="auto"/>
        <w:ind w:left="836" w:right="132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«</w:t>
      </w: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Про списання дебіторської заборгованості </w:t>
      </w:r>
    </w:p>
    <w:p w14:paraId="6338A0DE" w14:textId="5C46F39C" w:rsidR="00C46625" w:rsidRPr="00C46625" w:rsidRDefault="00C46625" w:rsidP="00C46625">
      <w:pPr>
        <w:spacing w:after="0" w:line="251" w:lineRule="auto"/>
        <w:ind w:left="836" w:right="132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районног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о бюджету Кременчуцького району»</w:t>
      </w:r>
      <w:r w:rsidRPr="00C46625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</w:p>
    <w:p w14:paraId="0E805F4F" w14:textId="77777777" w:rsidR="00C46625" w:rsidRPr="00C46625" w:rsidRDefault="00C46625" w:rsidP="00C46625">
      <w:pPr>
        <w:spacing w:after="14" w:line="259" w:lineRule="auto"/>
        <w:ind w:right="50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 xml:space="preserve"> </w:t>
      </w:r>
    </w:p>
    <w:p w14:paraId="6DD51A6F" w14:textId="781A30C4" w:rsidR="00C46625" w:rsidRPr="00C46625" w:rsidRDefault="00C46625" w:rsidP="00C46625">
      <w:pPr>
        <w:spacing w:after="28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Розробник проєкту рішення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– 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фінансовий відділ Кременчуцької районної державної адміністрації. Проєкт рішення є актом індивідуальної дії. </w:t>
      </w:r>
    </w:p>
    <w:p w14:paraId="23641222" w14:textId="330B3804" w:rsidR="00C46625" w:rsidRPr="00C46625" w:rsidRDefault="00C46625" w:rsidP="00C46625">
      <w:pPr>
        <w:spacing w:after="25" w:line="259" w:lineRule="auto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09AFE270" w14:textId="5BEEE887" w:rsidR="00F4421B" w:rsidRDefault="00C46625" w:rsidP="00F4421B">
      <w:pPr>
        <w:spacing w:after="3" w:line="254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Мета: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відповідно до Закону України «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м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ісцеве самоврядування в Україні»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, Бюджетного кодексу України, Закону України «Про врегулювання заборгованості за вкладами фізичних осіб-вкладників та інших кредиторів Акціонерного комерційного агропромислового банку «Україна»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(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зі змінами та доповненнями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)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Положення про інвентаризацію активів та зобов’язань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затвердженого Наказом Міністерства фінансів України від 02.09.2014 року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  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№ 879, листа Національного банку України від 16.04.2009 року № 44-012/4506 «Про виключення банку «Україна» з Державного реєстру банків» та, зважаючи на те, що процедура ліквідації Акціонерного комерційного агропромислового банку «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Україна»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(код ЄДРПОУ 00039025) відповідно до Закону України «Про продовження процедури ліквідації Акціонерного комерційного агропромислового банку «Україна» закінчилась 01 січня 2009 року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на розгляд сесії районної ради виноситься питання про списання дебіторської заборгованості у зв’язку із закінченням строку позовної давності та відсутністю ліквідатора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– 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Акціонерного комерційного агр</w:t>
      </w:r>
      <w:r w:rsidR="00E54678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опромислового банку «Україна».</w:t>
      </w:r>
    </w:p>
    <w:p w14:paraId="7B2C7DA3" w14:textId="3B8E9BDC" w:rsidR="00C46625" w:rsidRPr="00C46625" w:rsidRDefault="00C46625" w:rsidP="00F4421B">
      <w:pPr>
        <w:spacing w:after="3" w:line="254" w:lineRule="auto"/>
        <w:ind w:left="-5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Підстава розроблення проєкту акта</w:t>
      </w:r>
    </w:p>
    <w:p w14:paraId="2E98F26D" w14:textId="77777777" w:rsidR="00F4421B" w:rsidRDefault="00C46625" w:rsidP="00F4421B">
      <w:pPr>
        <w:spacing w:after="3" w:line="254" w:lineRule="auto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F4421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списання дебіторської заборгованості районного бюджету Кременчуцького району</w:t>
      </w:r>
      <w:r w:rsidR="00F4421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розробл</w:t>
      </w:r>
      <w:r w:rsidR="00F4421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ено на підставі Закону України «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м</w:t>
      </w:r>
      <w:r w:rsidR="00F4421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ісцеве самоврядування в Україні»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, Бюджетного кодексу України, Закону України «Про врегулювання заборгованості за вкладами фізичних осіб-вкладників та інших кредиторів Акціонерного комерційного агропромислового банку «Україна» </w:t>
      </w:r>
      <w:r w:rsidR="00F4421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(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зі змінами та доповненнями</w:t>
      </w:r>
      <w:r w:rsidR="00F4421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).</w:t>
      </w:r>
    </w:p>
    <w:p w14:paraId="1F1D87F8" w14:textId="33EE9538" w:rsidR="00C46625" w:rsidRPr="00C46625" w:rsidRDefault="00F4421B" w:rsidP="00F4421B">
      <w:pPr>
        <w:spacing w:after="3" w:line="254" w:lineRule="auto"/>
        <w:ind w:left="-5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Обґрунтування</w:t>
      </w:r>
      <w:r w:rsidR="00C46625"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необхідності прийняття акта</w:t>
      </w:r>
    </w:p>
    <w:p w14:paraId="0FE7AA7B" w14:textId="77777777" w:rsidR="00F4421B" w:rsidRDefault="00C46625" w:rsidP="00E54678">
      <w:pPr>
        <w:spacing w:after="3" w:line="254" w:lineRule="auto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Прийняття проєкту рішення сесії ра</w:t>
      </w:r>
      <w:r w:rsidR="00F4421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списання дебіторської заборгованості районног</w:t>
      </w:r>
      <w:r w:rsidR="00F4421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 бюджету Кременчуцького району»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зумовлюється дотриманням встановлених вимог законодавства. </w:t>
      </w:r>
    </w:p>
    <w:p w14:paraId="3C2FE818" w14:textId="77777777" w:rsidR="00E54678" w:rsidRDefault="00C46625" w:rsidP="00E54678">
      <w:pPr>
        <w:spacing w:after="3" w:line="254" w:lineRule="auto"/>
        <w:ind w:left="-5" w:right="556" w:firstLine="71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Суть проєкту акта</w:t>
      </w:r>
    </w:p>
    <w:p w14:paraId="664DF667" w14:textId="0E8FC2C6" w:rsidR="00934B52" w:rsidRDefault="00C46625" w:rsidP="00E54678">
      <w:pPr>
        <w:spacing w:after="3" w:line="254" w:lineRule="auto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F4421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списання дебіторської заборгованості районног</w:t>
      </w:r>
      <w:r w:rsidR="00F4421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 бюджету Кременчуцького району»</w:t>
      </w: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підготовлено з метою виконання діючого законодавства. </w:t>
      </w:r>
    </w:p>
    <w:p w14:paraId="474D584A" w14:textId="77777777" w:rsidR="00E54678" w:rsidRDefault="00E54678" w:rsidP="00934B52">
      <w:pPr>
        <w:spacing w:after="3" w:line="254" w:lineRule="auto"/>
        <w:ind w:left="-5" w:right="556" w:firstLine="71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649281A1" w14:textId="109BE282" w:rsidR="00C46625" w:rsidRPr="00C46625" w:rsidRDefault="00C46625" w:rsidP="00934B52">
      <w:pPr>
        <w:spacing w:after="3" w:line="254" w:lineRule="auto"/>
        <w:ind w:left="-5" w:right="556" w:firstLine="71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lastRenderedPageBreak/>
        <w:t>Правові аспекти</w:t>
      </w:r>
    </w:p>
    <w:p w14:paraId="5815D314" w14:textId="713ED40E" w:rsidR="00C46625" w:rsidRPr="00C46625" w:rsidRDefault="00C46625" w:rsidP="00934B52">
      <w:pPr>
        <w:tabs>
          <w:tab w:val="center" w:pos="3220"/>
        </w:tabs>
        <w:spacing w:after="37" w:line="254" w:lineRule="auto"/>
        <w:ind w:left="-15" w:firstLine="724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У даній сфері правового регулювання діють: </w:t>
      </w:r>
    </w:p>
    <w:p w14:paraId="584F8127" w14:textId="3995527B" w:rsidR="00C46625" w:rsidRPr="00C46625" w:rsidRDefault="00934B52" w:rsidP="00934B52">
      <w:pPr>
        <w:spacing w:after="150" w:line="254" w:lineRule="auto"/>
        <w:ind w:left="233" w:right="556" w:hanging="23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Закон України «</w:t>
      </w:r>
      <w:r w:rsidR="00C46625"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="00C46625"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; </w:t>
      </w:r>
    </w:p>
    <w:p w14:paraId="7D1A9BAB" w14:textId="60037BCD" w:rsidR="00C46625" w:rsidRPr="00C46625" w:rsidRDefault="00C46625" w:rsidP="00934B52">
      <w:pPr>
        <w:spacing w:after="175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Закон України «Про врегулювання заборгованості за вкладами фізичних осіб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-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вкладників та інших кредиторів Акціонерного комерційного агропромислового банку «Україна» 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(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зі змінами та доповненнями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)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; </w:t>
      </w:r>
    </w:p>
    <w:p w14:paraId="00D2DB8C" w14:textId="312FACE1" w:rsidR="00C46625" w:rsidRPr="00C46625" w:rsidRDefault="00C46625" w:rsidP="00934B52">
      <w:pPr>
        <w:spacing w:after="3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Положення про інвентаризацію активів та зобов’язань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затверджен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е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Наказом Міністерства фінансів України від 02.09.2014 року № 879;</w:t>
      </w:r>
      <w:r w:rsidRPr="00C46625">
        <w:rPr>
          <w:rFonts w:ascii="Times New Roman" w:eastAsia="Times New Roman" w:hAnsi="Times New Roman" w:cs="Times New Roman"/>
          <w:color w:val="000000"/>
          <w:sz w:val="12"/>
          <w:lang w:val="uk-UA" w:eastAsia="uk-UA"/>
        </w:rPr>
        <w:t xml:space="preserve"> </w:t>
      </w:r>
    </w:p>
    <w:p w14:paraId="7A9C2DEF" w14:textId="77777777" w:rsidR="00934B52" w:rsidRDefault="00C46625" w:rsidP="00934B5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12"/>
          <w:lang w:val="uk-UA" w:eastAsia="uk-UA"/>
        </w:rPr>
        <w:t xml:space="preserve"> </w:t>
      </w:r>
    </w:p>
    <w:p w14:paraId="2B7568C8" w14:textId="158DC3C6" w:rsidR="00C46625" w:rsidRPr="00C46625" w:rsidRDefault="00C46625" w:rsidP="00934B52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лист Національного банку України від 16.04.2009 року № 44-012/4506 «Про виключення банку «Україна» з Державного реєстру банків»;</w:t>
      </w:r>
      <w:r w:rsidRPr="00C46625">
        <w:rPr>
          <w:rFonts w:ascii="Times New Roman" w:eastAsia="Times New Roman" w:hAnsi="Times New Roman" w:cs="Times New Roman"/>
          <w:color w:val="000000"/>
          <w:sz w:val="12"/>
          <w:lang w:val="uk-UA" w:eastAsia="uk-UA"/>
        </w:rPr>
        <w:t xml:space="preserve"> </w:t>
      </w:r>
    </w:p>
    <w:p w14:paraId="52418015" w14:textId="77777777" w:rsidR="00C46625" w:rsidRPr="00C46625" w:rsidRDefault="00C46625" w:rsidP="00934B5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12"/>
          <w:lang w:val="uk-UA" w:eastAsia="uk-UA"/>
        </w:rPr>
        <w:t xml:space="preserve"> </w:t>
      </w:r>
    </w:p>
    <w:p w14:paraId="20FE9CA3" w14:textId="77777777" w:rsidR="00934B52" w:rsidRDefault="00C46625" w:rsidP="00934B52">
      <w:pPr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Закон України «Про продовження процедури ліквідації Акціонерного комерційного агропромислового банку «Україна». </w:t>
      </w:r>
    </w:p>
    <w:p w14:paraId="19E22F0E" w14:textId="77777777" w:rsidR="00934B52" w:rsidRDefault="00C46625" w:rsidP="00934B52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Фінансово-економічне обґрунтування</w:t>
      </w:r>
    </w:p>
    <w:p w14:paraId="07AB3D0A" w14:textId="77777777" w:rsidR="00934B52" w:rsidRDefault="00C46625" w:rsidP="00934B52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Прийняття проєкту рішення сесії ра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списання дебіторської заборгованості районного бюджету Кременчуцького району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дозволяє списати з</w:t>
      </w:r>
      <w:r w:rsidRPr="00C46625">
        <w:rPr>
          <w:rFonts w:ascii="Times New Roman" w:eastAsia="Times New Roman" w:hAnsi="Times New Roman" w:cs="Times New Roman"/>
          <w:color w:val="FF0000"/>
          <w:sz w:val="28"/>
          <w:lang w:val="uk-UA" w:eastAsia="uk-UA"/>
        </w:rPr>
        <w:t xml:space="preserve"> 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балансу дебіторську заборгованість у зв’язку із закінченням строку позовної давності та відсутністю ліквідатора 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– 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Акціонерного комерційного агропромислового банку «Україна». </w:t>
      </w:r>
      <w:r w:rsidRPr="00C46625">
        <w:rPr>
          <w:rFonts w:ascii="Times New Roman" w:eastAsia="Times New Roman" w:hAnsi="Times New Roman" w:cs="Times New Roman"/>
          <w:color w:val="FF0000"/>
          <w:sz w:val="28"/>
          <w:lang w:val="uk-UA" w:eastAsia="uk-UA"/>
        </w:rPr>
        <w:t xml:space="preserve"> </w:t>
      </w:r>
    </w:p>
    <w:p w14:paraId="1029077A" w14:textId="77777777" w:rsidR="00934B52" w:rsidRDefault="00C46625" w:rsidP="00934B52">
      <w:pPr>
        <w:spacing w:after="0" w:line="25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Прогноз впливу</w:t>
      </w:r>
    </w:p>
    <w:p w14:paraId="2ED82B94" w14:textId="77777777" w:rsidR="00934B52" w:rsidRDefault="00C46625" w:rsidP="00934B52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Прийняття проєкту рішення сесії ра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списання дебіторської заборгованості районного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бюджету Кременчуцького району» 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враховує потреби вирішення важливих питань.</w:t>
      </w: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</w:p>
    <w:p w14:paraId="356236FD" w14:textId="77777777" w:rsidR="00FF70FB" w:rsidRDefault="00C46625" w:rsidP="00FF70FB">
      <w:pPr>
        <w:spacing w:after="0" w:line="254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Позиція заінтересованих сторін</w:t>
      </w:r>
    </w:p>
    <w:p w14:paraId="520B8D58" w14:textId="7AA8B630" w:rsidR="00934B52" w:rsidRDefault="00C46625" w:rsidP="00FF70FB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списання дебіторської заборгованості районного бюджету Кременчуцького району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не потребує проведення консультацій із заінтересованими сторонами.</w:t>
      </w: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</w:p>
    <w:p w14:paraId="2C8F1DBE" w14:textId="77777777" w:rsidR="00FF70FB" w:rsidRDefault="00C46625" w:rsidP="00FF70FB">
      <w:pPr>
        <w:spacing w:after="3" w:line="254" w:lineRule="auto"/>
        <w:ind w:left="-5" w:right="556" w:firstLine="71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Громадське обговорення</w:t>
      </w:r>
    </w:p>
    <w:p w14:paraId="681E2909" w14:textId="424357E1" w:rsidR="00934B52" w:rsidRDefault="00C46625" w:rsidP="0085752C">
      <w:pPr>
        <w:spacing w:after="3" w:line="254" w:lineRule="auto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списання дебіторської заборгованості районного бюджету Кременчуцького району</w:t>
      </w:r>
      <w:r w:rsidR="00934B5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оприлюднено на офіційному сайті районної ради. </w:t>
      </w:r>
    </w:p>
    <w:p w14:paraId="30C2B258" w14:textId="77777777" w:rsidR="00FF70FB" w:rsidRDefault="00C46625" w:rsidP="00FF70FB">
      <w:pPr>
        <w:spacing w:after="36" w:line="254" w:lineRule="auto"/>
        <w:ind w:left="-5" w:right="556" w:firstLine="71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Позиція заінтересованих органів</w:t>
      </w:r>
    </w:p>
    <w:p w14:paraId="3DF2E0CE" w14:textId="621DEAB9" w:rsidR="00C46625" w:rsidRPr="00C46625" w:rsidRDefault="00C46625" w:rsidP="0085752C">
      <w:pPr>
        <w:spacing w:after="36" w:line="254" w:lineRule="auto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FF70F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списання дебіторської заборгованості районног</w:t>
      </w:r>
      <w:r w:rsidR="00FF70F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 бюджету Кременчуцького району»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безпосередньо не стосується сфери компетенції інших органів. </w:t>
      </w:r>
    </w:p>
    <w:p w14:paraId="40DE041E" w14:textId="77777777" w:rsidR="00FF70FB" w:rsidRDefault="00C46625" w:rsidP="00FF70FB">
      <w:pPr>
        <w:spacing w:after="29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Запобігання дискримінації</w:t>
      </w:r>
    </w:p>
    <w:p w14:paraId="0649AE68" w14:textId="24252A8C" w:rsidR="00FF70FB" w:rsidRDefault="00C46625" w:rsidP="00845C2D">
      <w:pPr>
        <w:spacing w:after="29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bookmarkStart w:id="0" w:name="_GoBack"/>
      <w:bookmarkEnd w:id="0"/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 проєкті рішення сесії ра</w:t>
      </w:r>
      <w:r w:rsidR="00FF70F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списання дебіторської заборгованості районного</w:t>
      </w:r>
      <w:r w:rsidR="00FF70F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бюджету </w:t>
      </w:r>
    </w:p>
    <w:p w14:paraId="39DEAC11" w14:textId="77777777" w:rsidR="00FF70FB" w:rsidRDefault="00FF70FB" w:rsidP="00FF70FB">
      <w:pPr>
        <w:spacing w:after="3" w:line="254" w:lineRule="auto"/>
        <w:ind w:left="-5" w:right="556" w:firstLine="5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64467D52" w14:textId="77777777" w:rsidR="00FF70FB" w:rsidRDefault="00FF70FB" w:rsidP="0085752C">
      <w:pPr>
        <w:spacing w:after="3" w:line="254" w:lineRule="auto"/>
        <w:ind w:left="-5" w:firstLine="5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lastRenderedPageBreak/>
        <w:t>Кременчуцького району»</w:t>
      </w:r>
      <w:r w:rsidR="00C46625"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відсутні положення, які містять ознаки дискримінації.</w:t>
      </w:r>
    </w:p>
    <w:p w14:paraId="24192A50" w14:textId="39F9AD0E" w:rsidR="00C46625" w:rsidRPr="00C46625" w:rsidRDefault="00C46625" w:rsidP="00FF70FB">
      <w:pPr>
        <w:spacing w:after="3" w:line="254" w:lineRule="auto"/>
        <w:ind w:left="-5" w:right="556" w:firstLine="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Запобігання корупції</w:t>
      </w:r>
    </w:p>
    <w:p w14:paraId="1F697E01" w14:textId="77777777" w:rsidR="00FF70FB" w:rsidRDefault="00C46625" w:rsidP="0085752C">
      <w:pPr>
        <w:spacing w:after="3" w:line="254" w:lineRule="auto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У проєкті рішення сесії районної ради восьмого скликання </w:t>
      </w:r>
      <w:r w:rsidR="00FF70F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«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списання дебіторської заборгованості районног</w:t>
      </w:r>
      <w:r w:rsidR="00FF70F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 бюджету Кременчуцького району»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відсутні правила і процедури, які можуть містити ризики вчинення корупційних правопорушень. </w:t>
      </w:r>
    </w:p>
    <w:p w14:paraId="4F979C9A" w14:textId="2D13BA11" w:rsidR="00C46625" w:rsidRPr="00C46625" w:rsidRDefault="00C46625" w:rsidP="00FF70FB">
      <w:pPr>
        <w:spacing w:after="3" w:line="254" w:lineRule="auto"/>
        <w:ind w:left="-5" w:right="556" w:firstLine="71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Прогноз результатів</w:t>
      </w:r>
    </w:p>
    <w:p w14:paraId="1AC9DAA5" w14:textId="56E7E82D" w:rsidR="00C46625" w:rsidRPr="00C46625" w:rsidRDefault="00C46625" w:rsidP="0085752C">
      <w:pPr>
        <w:spacing w:after="3" w:line="254" w:lineRule="auto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FF70F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списання дебіторської заборгованості районног</w:t>
      </w:r>
      <w:r w:rsidR="00FF70F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 бюджету Кременчуцького району»</w:t>
      </w:r>
      <w:r w:rsidRPr="00C46625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  <w:r w:rsidRPr="00C4662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сприятиме списанню безнадійної дебіторської заборгованості ліквідованого Акціонерного комерційного агропромислового банку «Україна». </w:t>
      </w:r>
    </w:p>
    <w:p w14:paraId="30A00AEE" w14:textId="19C2F7DE" w:rsidR="003C7222" w:rsidRDefault="003C7222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67ABBA3E" w14:textId="4214B803" w:rsidR="00FF70FB" w:rsidRDefault="00FF70FB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2FE41C9D" w14:textId="77777777" w:rsidR="00FF70FB" w:rsidRDefault="00FF70FB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57A34CA6" w14:textId="77777777" w:rsidR="00E85513" w:rsidRDefault="00E85513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ачальник фін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ансового відділу </w:t>
      </w:r>
    </w:p>
    <w:p w14:paraId="25DD8249" w14:textId="77777777" w:rsidR="00E85513" w:rsidRDefault="00E85513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Кременчуцької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районної </w:t>
      </w:r>
    </w:p>
    <w:p w14:paraId="744B22A1" w14:textId="3D29224B" w:rsidR="003B788D" w:rsidRDefault="00E85513" w:rsidP="0085752C">
      <w:pPr>
        <w:spacing w:after="5" w:line="251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державної адміністрації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 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            </w:t>
      </w:r>
      <w:r w:rsidR="0085752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   Ольга БОНДАРЕНКО</w:t>
      </w:r>
    </w:p>
    <w:sectPr w:rsidR="003B788D" w:rsidSect="00E54678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62F04" w14:textId="77777777" w:rsidR="008773D9" w:rsidRDefault="008773D9" w:rsidP="00C57F84">
      <w:pPr>
        <w:spacing w:after="0" w:line="240" w:lineRule="auto"/>
      </w:pPr>
      <w:r>
        <w:separator/>
      </w:r>
    </w:p>
  </w:endnote>
  <w:endnote w:type="continuationSeparator" w:id="0">
    <w:p w14:paraId="7713B4A5" w14:textId="77777777" w:rsidR="008773D9" w:rsidRDefault="008773D9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90C1C" w14:textId="77777777" w:rsidR="008773D9" w:rsidRDefault="008773D9" w:rsidP="00C57F84">
      <w:pPr>
        <w:spacing w:after="0" w:line="240" w:lineRule="auto"/>
      </w:pPr>
      <w:r>
        <w:separator/>
      </w:r>
    </w:p>
  </w:footnote>
  <w:footnote w:type="continuationSeparator" w:id="0">
    <w:p w14:paraId="3B2E7DA6" w14:textId="77777777" w:rsidR="008773D9" w:rsidRDefault="008773D9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BB1FF4"/>
    <w:multiLevelType w:val="hybridMultilevel"/>
    <w:tmpl w:val="2D848376"/>
    <w:lvl w:ilvl="0" w:tplc="EB941304">
      <w:start w:val="1"/>
      <w:numFmt w:val="bullet"/>
      <w:lvlText w:val="-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9C405C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C43AD2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C6D9D4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34696A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B40436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F4FE82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384C50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407A46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780A25"/>
    <w:multiLevelType w:val="hybridMultilevel"/>
    <w:tmpl w:val="D42ADD62"/>
    <w:lvl w:ilvl="0" w:tplc="B8B46E9C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40EF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46D2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8835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567B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48D3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9A3D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AEB4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C092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2678"/>
    <w:rsid w:val="00076D7F"/>
    <w:rsid w:val="000B0037"/>
    <w:rsid w:val="000F704D"/>
    <w:rsid w:val="001176B9"/>
    <w:rsid w:val="00130137"/>
    <w:rsid w:val="0015288F"/>
    <w:rsid w:val="00195EC3"/>
    <w:rsid w:val="001D207B"/>
    <w:rsid w:val="001F58AC"/>
    <w:rsid w:val="001F7F45"/>
    <w:rsid w:val="0020632E"/>
    <w:rsid w:val="00270A82"/>
    <w:rsid w:val="00280E0B"/>
    <w:rsid w:val="002856E4"/>
    <w:rsid w:val="002C07C8"/>
    <w:rsid w:val="002D28DC"/>
    <w:rsid w:val="00311333"/>
    <w:rsid w:val="00380576"/>
    <w:rsid w:val="003B7401"/>
    <w:rsid w:val="003B788D"/>
    <w:rsid w:val="003C7222"/>
    <w:rsid w:val="0042320C"/>
    <w:rsid w:val="00437BC5"/>
    <w:rsid w:val="004523F5"/>
    <w:rsid w:val="0050382C"/>
    <w:rsid w:val="00510ED7"/>
    <w:rsid w:val="005165DE"/>
    <w:rsid w:val="005266A0"/>
    <w:rsid w:val="00535845"/>
    <w:rsid w:val="00543670"/>
    <w:rsid w:val="00565905"/>
    <w:rsid w:val="005702DB"/>
    <w:rsid w:val="005864A4"/>
    <w:rsid w:val="005D094B"/>
    <w:rsid w:val="005E0030"/>
    <w:rsid w:val="005E572C"/>
    <w:rsid w:val="005E665E"/>
    <w:rsid w:val="00600B9B"/>
    <w:rsid w:val="006036BE"/>
    <w:rsid w:val="00640EB6"/>
    <w:rsid w:val="00654A5D"/>
    <w:rsid w:val="0068678B"/>
    <w:rsid w:val="00692F2F"/>
    <w:rsid w:val="006D641B"/>
    <w:rsid w:val="006F3155"/>
    <w:rsid w:val="00705A90"/>
    <w:rsid w:val="007206EC"/>
    <w:rsid w:val="00726BA5"/>
    <w:rsid w:val="007423B2"/>
    <w:rsid w:val="00744781"/>
    <w:rsid w:val="00772F9A"/>
    <w:rsid w:val="007828A6"/>
    <w:rsid w:val="00785CED"/>
    <w:rsid w:val="007920DD"/>
    <w:rsid w:val="00793068"/>
    <w:rsid w:val="007C11B1"/>
    <w:rsid w:val="007E20FC"/>
    <w:rsid w:val="008064B5"/>
    <w:rsid w:val="0081453C"/>
    <w:rsid w:val="00845C2D"/>
    <w:rsid w:val="008521F9"/>
    <w:rsid w:val="0085752C"/>
    <w:rsid w:val="00871237"/>
    <w:rsid w:val="008773D9"/>
    <w:rsid w:val="008A03ED"/>
    <w:rsid w:val="008A6899"/>
    <w:rsid w:val="00911BB2"/>
    <w:rsid w:val="009132C8"/>
    <w:rsid w:val="00922E74"/>
    <w:rsid w:val="00932721"/>
    <w:rsid w:val="00934B52"/>
    <w:rsid w:val="00963B9F"/>
    <w:rsid w:val="0097330A"/>
    <w:rsid w:val="009858D1"/>
    <w:rsid w:val="009864FA"/>
    <w:rsid w:val="00996942"/>
    <w:rsid w:val="009B5318"/>
    <w:rsid w:val="009E7AC6"/>
    <w:rsid w:val="009F2A5E"/>
    <w:rsid w:val="00A0244C"/>
    <w:rsid w:val="00A06EC1"/>
    <w:rsid w:val="00A232FA"/>
    <w:rsid w:val="00A376EE"/>
    <w:rsid w:val="00A46DB3"/>
    <w:rsid w:val="00A47B4F"/>
    <w:rsid w:val="00A6732B"/>
    <w:rsid w:val="00A73AEE"/>
    <w:rsid w:val="00AB12D5"/>
    <w:rsid w:val="00AF3D16"/>
    <w:rsid w:val="00B2459B"/>
    <w:rsid w:val="00B4731F"/>
    <w:rsid w:val="00B828EE"/>
    <w:rsid w:val="00BD7B12"/>
    <w:rsid w:val="00BE1321"/>
    <w:rsid w:val="00C41E0C"/>
    <w:rsid w:val="00C46625"/>
    <w:rsid w:val="00C47A1C"/>
    <w:rsid w:val="00C51FD1"/>
    <w:rsid w:val="00C52527"/>
    <w:rsid w:val="00C57F84"/>
    <w:rsid w:val="00C724D5"/>
    <w:rsid w:val="00C962C9"/>
    <w:rsid w:val="00C96467"/>
    <w:rsid w:val="00CA6B82"/>
    <w:rsid w:val="00CB05F6"/>
    <w:rsid w:val="00CB29DC"/>
    <w:rsid w:val="00CB6D24"/>
    <w:rsid w:val="00CC5D26"/>
    <w:rsid w:val="00CD24E2"/>
    <w:rsid w:val="00CF41FF"/>
    <w:rsid w:val="00D068ED"/>
    <w:rsid w:val="00D10B03"/>
    <w:rsid w:val="00D3264F"/>
    <w:rsid w:val="00D571D0"/>
    <w:rsid w:val="00D94148"/>
    <w:rsid w:val="00DC13CA"/>
    <w:rsid w:val="00DD4614"/>
    <w:rsid w:val="00E54678"/>
    <w:rsid w:val="00E73D7A"/>
    <w:rsid w:val="00E85513"/>
    <w:rsid w:val="00EA02C2"/>
    <w:rsid w:val="00EA584F"/>
    <w:rsid w:val="00EB7329"/>
    <w:rsid w:val="00EC1257"/>
    <w:rsid w:val="00EF06DC"/>
    <w:rsid w:val="00F2560E"/>
    <w:rsid w:val="00F372F4"/>
    <w:rsid w:val="00F4158B"/>
    <w:rsid w:val="00F4421B"/>
    <w:rsid w:val="00F803AA"/>
    <w:rsid w:val="00F83636"/>
    <w:rsid w:val="00F904EB"/>
    <w:rsid w:val="00FC6DF2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8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46DB3"/>
    <w:pPr>
      <w:spacing w:after="0" w:line="240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A58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58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Grid1"/>
    <w:rsid w:val="00EA584F"/>
    <w:pPr>
      <w:spacing w:after="0" w:line="240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75A1F-48DF-497C-AAF8-A94CB792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5</Pages>
  <Words>4743</Words>
  <Characters>2705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Верховец</cp:lastModifiedBy>
  <cp:revision>84</cp:revision>
  <cp:lastPrinted>2025-03-19T14:47:00Z</cp:lastPrinted>
  <dcterms:created xsi:type="dcterms:W3CDTF">2017-06-27T05:43:00Z</dcterms:created>
  <dcterms:modified xsi:type="dcterms:W3CDTF">2025-04-03T07:19:00Z</dcterms:modified>
</cp:coreProperties>
</file>