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07" w:rsidRPr="00A94722" w:rsidRDefault="006E15FE" w:rsidP="00D91A07">
      <w:pPr>
        <w:contextualSpacing/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 w:rsidRPr="00A94722">
        <w:rPr>
          <w:rFonts w:ascii="Times New Roman" w:hAnsi="Times New Roman" w:cs="Times New Roman"/>
          <w:sz w:val="28"/>
          <w:szCs w:val="20"/>
          <w:lang w:val="uk-UA"/>
        </w:rPr>
        <w:t xml:space="preserve">                                                            </w:t>
      </w:r>
      <w:r w:rsidR="00D91A07" w:rsidRPr="00A94722">
        <w:rPr>
          <w:rFonts w:ascii="Times New Roman" w:hAnsi="Times New Roman" w:cs="Times New Roman"/>
          <w:sz w:val="28"/>
          <w:szCs w:val="20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611564346" r:id="rId6"/>
        </w:object>
      </w:r>
      <w:r w:rsidRPr="00A94722">
        <w:rPr>
          <w:rFonts w:ascii="Times New Roman" w:hAnsi="Times New Roman" w:cs="Times New Roman"/>
          <w:sz w:val="28"/>
          <w:szCs w:val="20"/>
          <w:lang w:val="uk-UA"/>
        </w:rPr>
        <w:t xml:space="preserve">                                          ПРОЕКТ</w:t>
      </w:r>
    </w:p>
    <w:p w:rsidR="00D91A07" w:rsidRPr="00A94722" w:rsidRDefault="00D91A07" w:rsidP="00D91A07">
      <w:pPr>
        <w:ind w:left="142"/>
        <w:contextualSpacing/>
        <w:jc w:val="center"/>
        <w:rPr>
          <w:rFonts w:ascii="Times New Roman" w:hAnsi="Times New Roman" w:cs="Times New Roman"/>
          <w:b/>
          <w:sz w:val="16"/>
          <w:szCs w:val="20"/>
          <w:lang w:val="uk-UA"/>
        </w:rPr>
      </w:pPr>
    </w:p>
    <w:p w:rsidR="00D91A07" w:rsidRPr="00A94722" w:rsidRDefault="00D91A07" w:rsidP="00D91A07">
      <w:pPr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A94722">
        <w:rPr>
          <w:rFonts w:ascii="Times New Roman" w:hAnsi="Times New Roman" w:cs="Times New Roman"/>
          <w:b/>
          <w:sz w:val="28"/>
          <w:szCs w:val="20"/>
          <w:lang w:val="uk-UA"/>
        </w:rPr>
        <w:t>КРЕМЕНЧУЦЬКА РАЙОННА РАДА</w:t>
      </w:r>
    </w:p>
    <w:p w:rsidR="00D91A07" w:rsidRPr="00A94722" w:rsidRDefault="00D91A07" w:rsidP="00D91A07">
      <w:pPr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A94722">
        <w:rPr>
          <w:rFonts w:ascii="Times New Roman" w:hAnsi="Times New Roman" w:cs="Times New Roman"/>
          <w:b/>
          <w:sz w:val="28"/>
          <w:szCs w:val="20"/>
          <w:lang w:val="uk-UA"/>
        </w:rPr>
        <w:t xml:space="preserve">   ПОЛТАВСЬКОЇ ОБЛАСТІ</w:t>
      </w:r>
    </w:p>
    <w:p w:rsidR="00D91A07" w:rsidRPr="00A94722" w:rsidRDefault="00D91A07" w:rsidP="00D91A07">
      <w:pPr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A94722">
        <w:rPr>
          <w:rFonts w:ascii="Times New Roman" w:hAnsi="Times New Roman" w:cs="Times New Roman"/>
          <w:b/>
          <w:sz w:val="28"/>
          <w:szCs w:val="20"/>
          <w:lang w:val="uk-UA"/>
        </w:rPr>
        <w:t>(</w:t>
      </w:r>
      <w:r w:rsidR="009972F9" w:rsidRPr="00A94722">
        <w:rPr>
          <w:rFonts w:ascii="Times New Roman" w:hAnsi="Times New Roman" w:cs="Times New Roman"/>
          <w:b/>
          <w:sz w:val="28"/>
          <w:szCs w:val="20"/>
          <w:lang w:val="uk-UA"/>
        </w:rPr>
        <w:t>двадцять сьома</w:t>
      </w:r>
      <w:r w:rsidR="00BD123D" w:rsidRPr="00A94722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A94722">
        <w:rPr>
          <w:rFonts w:ascii="Times New Roman" w:hAnsi="Times New Roman" w:cs="Times New Roman"/>
          <w:b/>
          <w:sz w:val="28"/>
          <w:szCs w:val="20"/>
          <w:lang w:val="uk-UA"/>
        </w:rPr>
        <w:t>сесія сьомого скликання)</w:t>
      </w:r>
    </w:p>
    <w:p w:rsidR="00D91A07" w:rsidRPr="00A94722" w:rsidRDefault="00D91A07" w:rsidP="00BE69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D91A07" w:rsidRPr="00A94722" w:rsidRDefault="00D91A07" w:rsidP="00D91A07">
      <w:pPr>
        <w:keepNext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20"/>
          <w:lang w:val="uk-UA"/>
        </w:rPr>
      </w:pPr>
      <w:r w:rsidRPr="00A94722">
        <w:rPr>
          <w:rFonts w:ascii="Times New Roman" w:hAnsi="Times New Roman" w:cs="Times New Roman"/>
          <w:b/>
          <w:sz w:val="36"/>
          <w:szCs w:val="20"/>
          <w:lang w:val="uk-UA"/>
        </w:rPr>
        <w:t>РІШЕННЯ</w:t>
      </w:r>
    </w:p>
    <w:p w:rsidR="0096679B" w:rsidRPr="00A94722" w:rsidRDefault="0096679B" w:rsidP="00D91A07">
      <w:pPr>
        <w:keepNext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20"/>
          <w:lang w:val="uk-UA"/>
        </w:rPr>
      </w:pPr>
    </w:p>
    <w:p w:rsidR="00D91A07" w:rsidRPr="00A94722" w:rsidRDefault="00D91A07" w:rsidP="00D91A0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>від «___»     _________    201</w:t>
      </w:r>
      <w:r w:rsidR="0088528E" w:rsidRPr="00A947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91A07" w:rsidRPr="00A94722" w:rsidRDefault="009972F9" w:rsidP="00D91A0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91A07" w:rsidRPr="00A94722">
        <w:rPr>
          <w:rFonts w:ascii="Times New Roman" w:hAnsi="Times New Roman" w:cs="Times New Roman"/>
          <w:sz w:val="28"/>
          <w:szCs w:val="28"/>
          <w:lang w:val="uk-UA"/>
        </w:rPr>
        <w:t>м. Кременчук</w:t>
      </w:r>
    </w:p>
    <w:p w:rsidR="00D91A07" w:rsidRPr="00A94722" w:rsidRDefault="00D91A07" w:rsidP="0080756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B3BDC" w:rsidRPr="00A94722" w:rsidRDefault="00807569" w:rsidP="00997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BD123D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591629" w:rsidRPr="00A947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BB3BDC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</w:p>
    <w:p w:rsidR="00BB3BDC" w:rsidRPr="00A94722" w:rsidRDefault="00BB3BDC" w:rsidP="009972F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E15F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703414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5F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FE04F6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5F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</w:p>
    <w:p w:rsidR="00BB3BDC" w:rsidRPr="00A94722" w:rsidRDefault="00FE04F6" w:rsidP="009972F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>«Кременчуцький</w:t>
      </w:r>
      <w:r w:rsidR="00BB3BDC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5F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>районний</w:t>
      </w:r>
      <w:r w:rsidR="006E15F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</w:p>
    <w:p w:rsidR="00807569" w:rsidRPr="00A94722" w:rsidRDefault="006E15FE" w:rsidP="009972F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04F6" w:rsidRPr="00A94722">
        <w:rPr>
          <w:rFonts w:ascii="Times New Roman" w:hAnsi="Times New Roman" w:cs="Times New Roman"/>
          <w:sz w:val="28"/>
          <w:szCs w:val="28"/>
          <w:lang w:val="uk-UA"/>
        </w:rPr>
        <w:t>ервинної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04F6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медико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04F6" w:rsidRPr="00A947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04F6" w:rsidRPr="00A94722">
        <w:rPr>
          <w:rFonts w:ascii="Times New Roman" w:hAnsi="Times New Roman" w:cs="Times New Roman"/>
          <w:sz w:val="28"/>
          <w:szCs w:val="28"/>
          <w:lang w:val="uk-UA"/>
        </w:rPr>
        <w:t>санітарної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04F6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6679B" w:rsidRPr="00A94722" w:rsidRDefault="00BB3BDC" w:rsidP="009972F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88528E" w:rsidRPr="00A947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00800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9A3" w:rsidRPr="00A94722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BD123D" w:rsidRPr="00A94722" w:rsidRDefault="00BD123D" w:rsidP="00BD123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807569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11A3" w:rsidRPr="00A94722">
        <w:rPr>
          <w:rFonts w:ascii="Times New Roman" w:hAnsi="Times New Roman" w:cs="Times New Roman"/>
          <w:sz w:val="28"/>
          <w:szCs w:val="28"/>
          <w:lang w:val="uk-UA"/>
        </w:rPr>
        <w:t>Відповідно до п.16 ч. 1 ст. 43 Закону України «Про місцеве самоврядування в Україні»</w:t>
      </w:r>
      <w:r w:rsidR="00803BE8" w:rsidRPr="00A94722">
        <w:rPr>
          <w:rFonts w:ascii="Times New Roman" w:hAnsi="Times New Roman" w:cs="Times New Roman"/>
          <w:sz w:val="28"/>
          <w:szCs w:val="28"/>
          <w:lang w:val="uk-UA"/>
        </w:rPr>
        <w:t>, на виконання</w:t>
      </w:r>
      <w:r w:rsidR="00BB3BDC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ЗУ «Про державні фінансові гарантії медичного обслуговування населення» № 2168-VIII від 19.10.2017р.</w:t>
      </w:r>
      <w:r w:rsidR="00803BE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наказів МОЗ України від 01.08.2011р. № 454 «Про затвердження концепції управління якістю медичної допомоги у галузі охорони здоров’я в Україні на період до 2020р.», </w:t>
      </w:r>
      <w:r w:rsidR="00D8557E" w:rsidRPr="00A94722">
        <w:rPr>
          <w:rFonts w:ascii="Times New Roman" w:hAnsi="Times New Roman" w:cs="Times New Roman"/>
          <w:sz w:val="28"/>
          <w:szCs w:val="28"/>
          <w:lang w:val="uk-UA"/>
        </w:rPr>
        <w:t>Кодексу законів про п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>рацю України, з метою ефективного формування кадрового потенціалу лікувально-профілактичних закладів району для покращення медичного обслуговування дорослого та дитячого населення району, розпорядження голови Полтавської обласної державної адміністрації від 06.11.2017р. № 757 «Про міжсекторальний підхід в системному впровадженні структурних перетворень в га</w:t>
      </w:r>
      <w:r w:rsidR="007311A3" w:rsidRPr="00A94722">
        <w:rPr>
          <w:rFonts w:ascii="Times New Roman" w:hAnsi="Times New Roman" w:cs="Times New Roman"/>
          <w:sz w:val="28"/>
          <w:szCs w:val="28"/>
          <w:lang w:val="uk-UA"/>
        </w:rPr>
        <w:t>лузі охорони здоров’я області», врахувавши пропозиції постійної комісії з питань бюджету, соціально-економічного розвитку</w:t>
      </w:r>
      <w:r w:rsidR="009636DD" w:rsidRPr="00A94722">
        <w:rPr>
          <w:rFonts w:ascii="Times New Roman" w:hAnsi="Times New Roman" w:cs="Times New Roman"/>
          <w:sz w:val="28"/>
          <w:szCs w:val="28"/>
          <w:lang w:val="uk-UA"/>
        </w:rPr>
        <w:t>, приватизації, підприємниц</w:t>
      </w:r>
      <w:r w:rsidR="007311A3" w:rsidRPr="00A94722">
        <w:rPr>
          <w:rFonts w:ascii="Times New Roman" w:hAnsi="Times New Roman" w:cs="Times New Roman"/>
          <w:sz w:val="28"/>
          <w:szCs w:val="28"/>
          <w:lang w:val="uk-UA"/>
        </w:rPr>
        <w:t>тва, промисловості, інвестиційної діяльності та регуляторної політики, з питань охорони здоров’я, соціального захисту населення,</w:t>
      </w:r>
      <w:r w:rsidR="00BD123D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2F9" w:rsidRPr="00A94722" w:rsidRDefault="009972F9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569" w:rsidRPr="00A94722" w:rsidRDefault="009972F9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311A3" w:rsidRPr="00A94722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9972F9" w:rsidRPr="00A94722" w:rsidRDefault="009972F9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569" w:rsidRPr="00A94722" w:rsidRDefault="00BD123D" w:rsidP="009972F9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>Затвердити районн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1629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підтримки</w:t>
      </w:r>
      <w:r w:rsidR="00BE69A3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«Кременчуцький районний центр первинної медико-санітарної допомоги»</w:t>
      </w:r>
      <w:r w:rsidR="00F91F45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88528E" w:rsidRPr="00A947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771865" w:rsidRPr="00A94722" w:rsidRDefault="00771865" w:rsidP="009972F9">
      <w:pPr>
        <w:pStyle w:val="a3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69A3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>Головним розпорядником коштів визнач</w:t>
      </w:r>
      <w:r w:rsidR="00C86225" w:rsidRPr="00A947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>ти Кременчуцьку районну державну адміністрацію.</w:t>
      </w:r>
    </w:p>
    <w:p w:rsidR="00807569" w:rsidRPr="00A94722" w:rsidRDefault="00771865" w:rsidP="009972F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E69A3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6460" w:rsidRPr="00A94722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Кременчуцької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  </w:t>
      </w:r>
      <w:r w:rsidR="00BE69A3" w:rsidRPr="00A94722">
        <w:rPr>
          <w:rFonts w:ascii="Times New Roman" w:hAnsi="Times New Roman" w:cs="Times New Roman"/>
          <w:sz w:val="28"/>
          <w:szCs w:val="28"/>
          <w:lang w:val="uk-UA"/>
        </w:rPr>
        <w:t>адміністрації внести відповідні зміни до районного бюджету (Піддубна О.В.).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E69A3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B16EE" w:rsidRPr="00A94722" w:rsidRDefault="00771865" w:rsidP="009972F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BE69A3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постійні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питань бюджету,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A7ACF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озвитку, приватизації,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ACF" w:rsidRPr="00A94722">
        <w:rPr>
          <w:rFonts w:ascii="Times New Roman" w:hAnsi="Times New Roman" w:cs="Times New Roman"/>
          <w:sz w:val="28"/>
          <w:szCs w:val="28"/>
          <w:lang w:val="uk-UA"/>
        </w:rPr>
        <w:t>підприємниц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тва,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>промисловості,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інвестиційної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політики (Черниш М.К.), з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охорони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>здоров’я,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</w:t>
      </w:r>
      <w:r w:rsidR="00D64E98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EE" w:rsidRPr="00A94722">
        <w:rPr>
          <w:rFonts w:ascii="Times New Roman" w:hAnsi="Times New Roman" w:cs="Times New Roman"/>
          <w:sz w:val="28"/>
          <w:szCs w:val="28"/>
          <w:lang w:val="uk-UA"/>
        </w:rPr>
        <w:t>захисту населення (Маз Н.Ю.).</w:t>
      </w:r>
    </w:p>
    <w:p w:rsidR="0096679B" w:rsidRPr="00A94722" w:rsidRDefault="0096679B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E98" w:rsidRPr="00A94722" w:rsidRDefault="00D64E98" w:rsidP="00997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56460" w:rsidRPr="00A94722">
        <w:rPr>
          <w:rFonts w:ascii="Times New Roman" w:hAnsi="Times New Roman" w:cs="Times New Roman"/>
          <w:sz w:val="28"/>
          <w:szCs w:val="28"/>
          <w:lang w:val="uk-UA"/>
        </w:rPr>
        <w:t>ОЛОВА</w:t>
      </w:r>
    </w:p>
    <w:p w:rsidR="00807569" w:rsidRPr="00A94722" w:rsidRDefault="00956460" w:rsidP="00997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679B" w:rsidRPr="00A9472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A94722">
        <w:rPr>
          <w:rFonts w:ascii="Times New Roman" w:hAnsi="Times New Roman" w:cs="Times New Roman"/>
          <w:sz w:val="28"/>
          <w:szCs w:val="28"/>
          <w:lang w:val="uk-UA"/>
        </w:rPr>
        <w:t>А.О.ДРОФА</w:t>
      </w:r>
      <w:r w:rsidR="00807569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A9472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0F0A" w:rsidRPr="00A94722" w:rsidRDefault="00D30F0A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A94722" w:rsidRDefault="00AA1757">
      <w:pPr>
        <w:rPr>
          <w:sz w:val="28"/>
          <w:szCs w:val="28"/>
          <w:lang w:val="uk-UA"/>
        </w:rPr>
      </w:pPr>
    </w:p>
    <w:p w:rsidR="00AA1757" w:rsidRPr="00A94722" w:rsidRDefault="00AA1757">
      <w:pPr>
        <w:rPr>
          <w:sz w:val="28"/>
          <w:szCs w:val="28"/>
          <w:lang w:val="uk-UA"/>
        </w:rPr>
      </w:pPr>
    </w:p>
    <w:p w:rsidR="00AA1757" w:rsidRPr="00A94722" w:rsidRDefault="00AA1757">
      <w:pPr>
        <w:rPr>
          <w:sz w:val="28"/>
          <w:szCs w:val="28"/>
          <w:lang w:val="uk-UA"/>
        </w:rPr>
      </w:pPr>
    </w:p>
    <w:p w:rsidR="00D64E98" w:rsidRPr="00A94722" w:rsidRDefault="00D64E98">
      <w:pPr>
        <w:rPr>
          <w:sz w:val="28"/>
          <w:szCs w:val="28"/>
          <w:lang w:val="uk-UA"/>
        </w:rPr>
      </w:pPr>
    </w:p>
    <w:p w:rsidR="00AA1757" w:rsidRPr="00A94722" w:rsidRDefault="00AA1757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A94722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173568" w:rsidRPr="00A94722" w:rsidTr="000C60AF">
        <w:tc>
          <w:tcPr>
            <w:tcW w:w="6521" w:type="dxa"/>
          </w:tcPr>
          <w:p w:rsidR="00173568" w:rsidRPr="00A94722" w:rsidRDefault="0017356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Підготовлено:</w:t>
            </w:r>
          </w:p>
          <w:p w:rsidR="00173568" w:rsidRPr="00A94722" w:rsidRDefault="0017356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73568" w:rsidRPr="00A94722" w:rsidRDefault="0017356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E98" w:rsidRPr="00A94722" w:rsidTr="000C60AF">
        <w:tc>
          <w:tcPr>
            <w:tcW w:w="6521" w:type="dxa"/>
          </w:tcPr>
          <w:p w:rsidR="00D64E98" w:rsidRPr="00A94722" w:rsidRDefault="00D64E9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="00BC74F5"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комунального </w:t>
            </w:r>
          </w:p>
          <w:p w:rsidR="00D64E98" w:rsidRPr="00A94722" w:rsidRDefault="00BC74F5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64E98"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ідприємства</w:t>
            </w: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4E98"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«Кременчуцький</w:t>
            </w:r>
          </w:p>
          <w:p w:rsidR="00D64E98" w:rsidRPr="00A94722" w:rsidRDefault="00D64E9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центр первинної</w:t>
            </w:r>
          </w:p>
          <w:p w:rsidR="00D64E98" w:rsidRPr="00A94722" w:rsidRDefault="00D64E9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медико-санітарної допомоги»</w:t>
            </w:r>
          </w:p>
          <w:p w:rsidR="00D64E98" w:rsidRPr="00A94722" w:rsidRDefault="00D64E9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A94722" w:rsidRDefault="00D64E98" w:rsidP="00173568">
            <w:pPr>
              <w:ind w:right="99" w:firstLine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 Кучеренко</w:t>
            </w:r>
          </w:p>
        </w:tc>
      </w:tr>
      <w:tr w:rsidR="00173568" w:rsidRPr="00A94722" w:rsidTr="000C60A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521" w:type="dxa"/>
          </w:tcPr>
          <w:p w:rsidR="00173568" w:rsidRPr="00A94722" w:rsidRDefault="0017356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Погоджено:</w:t>
            </w:r>
          </w:p>
          <w:p w:rsidR="00173568" w:rsidRPr="00A94722" w:rsidRDefault="00173568" w:rsidP="00173568">
            <w:pPr>
              <w:ind w:left="108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73568" w:rsidRPr="00A94722" w:rsidRDefault="00173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E98" w:rsidRPr="00A94722" w:rsidTr="000C60AF">
        <w:tc>
          <w:tcPr>
            <w:tcW w:w="6521" w:type="dxa"/>
          </w:tcPr>
          <w:p w:rsidR="00D64E98" w:rsidRPr="00A94722" w:rsidRDefault="00D64E98" w:rsidP="00D64E98">
            <w:pPr>
              <w:tabs>
                <w:tab w:val="center" w:pos="4769"/>
              </w:tabs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17356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ради 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64E98" w:rsidRPr="00A94722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Е.І. Скляревський</w:t>
            </w:r>
          </w:p>
        </w:tc>
      </w:tr>
      <w:tr w:rsidR="00D64E98" w:rsidRPr="00A94722" w:rsidTr="000C60AF">
        <w:tc>
          <w:tcPr>
            <w:tcW w:w="6521" w:type="dxa"/>
          </w:tcPr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  <w:p w:rsidR="0017356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ради   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3118" w:type="dxa"/>
            <w:vAlign w:val="center"/>
          </w:tcPr>
          <w:p w:rsidR="00D64E98" w:rsidRPr="00A94722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 Цюпа</w:t>
            </w:r>
          </w:p>
        </w:tc>
      </w:tr>
      <w:tr w:rsidR="00D64E98" w:rsidRPr="00A94722" w:rsidTr="000C60AF">
        <w:tc>
          <w:tcPr>
            <w:tcW w:w="6521" w:type="dxa"/>
          </w:tcPr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="00BC74F5"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 адміністрації</w:t>
            </w:r>
          </w:p>
          <w:p w:rsidR="00173568" w:rsidRPr="00A94722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A94722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 Тютюнник</w:t>
            </w:r>
          </w:p>
        </w:tc>
      </w:tr>
      <w:tr w:rsidR="00D64E98" w:rsidRPr="00A94722" w:rsidTr="000C60AF">
        <w:tc>
          <w:tcPr>
            <w:tcW w:w="6521" w:type="dxa"/>
          </w:tcPr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 адміністрації</w:t>
            </w:r>
          </w:p>
          <w:p w:rsidR="00173568" w:rsidRPr="00A94722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A94722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Є.В. Колесник</w:t>
            </w:r>
          </w:p>
        </w:tc>
      </w:tr>
      <w:tr w:rsidR="00D64E98" w:rsidRPr="00A94722" w:rsidTr="000C60AF">
        <w:tc>
          <w:tcPr>
            <w:tcW w:w="6521" w:type="dxa"/>
          </w:tcPr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апарату 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173568" w:rsidRPr="00A94722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A94722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Т.М. </w:t>
            </w:r>
            <w:proofErr w:type="spellStart"/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Самбур</w:t>
            </w:r>
            <w:proofErr w:type="spellEnd"/>
          </w:p>
        </w:tc>
      </w:tr>
      <w:tr w:rsidR="00D64E98" w:rsidRPr="00A94722" w:rsidTr="000C60AF">
        <w:tc>
          <w:tcPr>
            <w:tcW w:w="6521" w:type="dxa"/>
          </w:tcPr>
          <w:p w:rsidR="00D64E98" w:rsidRPr="00A94722" w:rsidRDefault="00D64E98" w:rsidP="00D6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 адміністрації</w:t>
            </w:r>
          </w:p>
          <w:p w:rsidR="00173568" w:rsidRPr="00A94722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A94722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Піддубна</w:t>
            </w:r>
          </w:p>
        </w:tc>
      </w:tr>
      <w:tr w:rsidR="00D64E98" w:rsidRPr="00A94722" w:rsidTr="000C60AF">
        <w:tc>
          <w:tcPr>
            <w:tcW w:w="6521" w:type="dxa"/>
          </w:tcPr>
          <w:p w:rsidR="00173568" w:rsidRPr="00A94722" w:rsidRDefault="00173568" w:rsidP="00173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юридичного</w:t>
            </w:r>
            <w:r w:rsidR="00D64E98"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</w:p>
          <w:p w:rsidR="00D64E98" w:rsidRPr="00A94722" w:rsidRDefault="00D64E98" w:rsidP="00D6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Кременчуцької 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  <w:p w:rsidR="00173568" w:rsidRPr="00A94722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A94722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  <w:r w:rsidR="00173568"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</w:p>
        </w:tc>
      </w:tr>
      <w:tr w:rsidR="00D64E98" w:rsidRPr="00A94722" w:rsidTr="000C60AF">
        <w:tc>
          <w:tcPr>
            <w:tcW w:w="6521" w:type="dxa"/>
          </w:tcPr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   постійної       комісії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 ради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охорони здоров'я, 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захисту населення</w:t>
            </w:r>
          </w:p>
          <w:p w:rsidR="00173568" w:rsidRPr="00A94722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A94722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Н.Ю. Маз</w:t>
            </w:r>
          </w:p>
        </w:tc>
      </w:tr>
      <w:tr w:rsidR="00D64E98" w:rsidRPr="00A94722" w:rsidTr="000C60AF">
        <w:tc>
          <w:tcPr>
            <w:tcW w:w="6521" w:type="dxa"/>
          </w:tcPr>
          <w:p w:rsidR="00D64E98" w:rsidRPr="00A94722" w:rsidRDefault="00D64E98" w:rsidP="00D64E9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постійної комісії  Кременчуцької</w:t>
            </w:r>
          </w:p>
          <w:p w:rsidR="00D64E98" w:rsidRPr="00A94722" w:rsidRDefault="00D64E98" w:rsidP="00D64E9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районної ради </w:t>
            </w:r>
            <w:r w:rsidRPr="00A94722">
              <w:rPr>
                <w:rFonts w:ascii="Times New Roman" w:hAnsi="Times New Roman"/>
                <w:sz w:val="28"/>
                <w:szCs w:val="28"/>
                <w:lang w:val="uk-UA"/>
              </w:rPr>
              <w:t>з питань   бюджету,</w:t>
            </w:r>
            <w:r w:rsidRPr="00A947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64E98" w:rsidRPr="00A94722" w:rsidRDefault="00591629" w:rsidP="00D64E9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/>
                <w:sz w:val="28"/>
                <w:szCs w:val="28"/>
                <w:lang w:val="uk-UA"/>
              </w:rPr>
              <w:t>соціально</w:t>
            </w:r>
            <w:r w:rsidR="00D64E98" w:rsidRPr="00A947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-економічного    розвитку, </w:t>
            </w:r>
          </w:p>
          <w:p w:rsidR="00D64E98" w:rsidRPr="00A94722" w:rsidRDefault="00D64E98" w:rsidP="00D64E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приватизації,  підприємництва, </w:t>
            </w:r>
          </w:p>
          <w:p w:rsidR="00D64E98" w:rsidRPr="00A94722" w:rsidRDefault="00D64E98" w:rsidP="00D64E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промисловості, інвестиційної </w:t>
            </w:r>
          </w:p>
          <w:p w:rsidR="00D64E98" w:rsidRPr="00A94722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/>
                <w:sz w:val="28"/>
                <w:szCs w:val="28"/>
                <w:lang w:val="uk-UA"/>
              </w:rPr>
              <w:t>діяльності та регуляторної політики</w:t>
            </w:r>
          </w:p>
        </w:tc>
        <w:tc>
          <w:tcPr>
            <w:tcW w:w="3118" w:type="dxa"/>
            <w:vAlign w:val="center"/>
          </w:tcPr>
          <w:p w:rsidR="00D64E98" w:rsidRPr="00A94722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hAnsi="Times New Roman"/>
                <w:sz w:val="28"/>
                <w:szCs w:val="28"/>
                <w:lang w:val="uk-UA"/>
              </w:rPr>
              <w:t>М.К. Черниш</w:t>
            </w:r>
          </w:p>
        </w:tc>
      </w:tr>
    </w:tbl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           </w:t>
      </w:r>
      <w:r w:rsidR="00CA6C7B"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Затверджено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рішення</w:t>
      </w:r>
      <w:r w:rsidR="00CA6C7B"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27 сесії 7 скликання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</w:t>
      </w:r>
      <w:r w:rsidR="00CA6C7B"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«___»__________2019р.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Програма розвитку та підтримки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комунального підприємства  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«Кременчуцький районний центр первинної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медико–санітарної допомоги» 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2019 рік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591629" w:rsidRPr="00A94722" w:rsidRDefault="00591629" w:rsidP="00591629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Здоров’я є найважливішим з прав людини та найвищою людською цінністю, від якої залежить економічний, фізичний та духовний потенціал суспільства. Це показник соціального і культурного прогресу, один із головних елементів національного багатства. Тому кожна держава розглядає охорону та зміцнення здоров’я як своє найголовніше завдання.</w:t>
      </w:r>
    </w:p>
    <w:p w:rsidR="00591629" w:rsidRPr="00A94722" w:rsidRDefault="00591629" w:rsidP="00591629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Світовий досвід, узагальнений в документах ВООЗ, показує, що одним із головних пріоритетів розвитку національної системи охорони здоров’я в умовах дефіциту фінансових і кадрових ресурсів повинен бути розвиток первинної медико-санітарної допомоги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основі загальної практики </w:t>
      </w:r>
      <w:r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сімейної медицини.</w:t>
      </w:r>
    </w:p>
    <w:p w:rsidR="00591629" w:rsidRPr="00A94722" w:rsidRDefault="00591629" w:rsidP="00591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Calibri" w:eastAsia="Calibri" w:hAnsi="Calibri" w:cs="Times New Roman"/>
          <w:lang w:val="uk-UA"/>
        </w:rPr>
        <w:tab/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розвитку та підтримки </w:t>
      </w:r>
      <w:r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комунального підприємства 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«Кременчуцький районний центр первинної медико-санітарної допомоги»  на 2019 рік (далі – Програма), розроблена на підставі Закону України «Про місцеве самоврядування в Україні» від 24.05.1997р. № 280/97-ВР, Цивільного кодексу України від 16.01.2003р. № 435-IV, Господарського кодексу України від 16.01.2003р. № 436-IV, Бюджетного кодексу України від 08.07.2010р.          № 2456-VI</w:t>
      </w:r>
      <w:r w:rsidR="00CA6C7B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, р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озпорядження КМУ «Про схвалення Концепції реформи фінансування системи охорони зд</w:t>
      </w:r>
      <w:r w:rsidR="00CA6C7B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оров’я» від 30.11.2016р. № 1013-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р., Методичних рекомендацій з питань перетворення закладів охорони здоров’я з бюджетних установ у комунальні некомерційні підприємства від 14.02.2018 р. та рішення 19 сесії 7 скликання Кременчуцької районної ради Полтавської області від 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07.03.2018 року «Про створення </w:t>
      </w:r>
      <w:r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комунального  підприємства 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«Кременчуцький районний центр первинної медико-санітарної допомоги».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Актуальність Програми продиктована необхідністю поліпшення якості надання та доступності медичної допомоги населенню Кременчуцького  району, поліпшення матеріально-технічної бази, підвищення престижу праці медичних працівників первинної ланки з надання медичної допомоги, покращення їх соціального та економічного становища. Вона зумовлена, в першу чергу, необхідністю забезпечення первинної ланки медико-санітарної допомоги сімейними лікарями-лікарями загальної практики сімейної медицини, необхідністю поліпшення стану здоров’я населення шляхом забезпечення доступу до кваліфікованої первинної медико-санітарної допомоги, орієнтованої на інтегрований підхід до рішення медико-санітарних потреб окремих громадян, родин та громади в цілому.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2. Мета та завдання Програми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Метою прийняття та реалізації  Програми  є: об’єднання зусиль органів місцевого самоврядування, виконавчої влади, керівників підприємств, установ, організацій, що здійснюють діяльність на територ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ії сільських населених пунктів у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напрямку підвищення стандартів життя, модернізації та зміцнення матеріа</w:t>
      </w:r>
      <w:r w:rsidR="00CA2013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льно-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технічної бази закладів охорони здоров’я району, оснащення їх необхідним медичним обладнанням, комп′ютерною технікою,  автотранспортом, поліпшення умов праці медичних працівників, що 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допоможе забезпечити населення району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якісними медичними послугами, вирішить питання кадрового забезпечення медичними працівниками закладів охорони здоров’я у сільській місцевості.       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Основними завданнями програми є: пріоритетний розвиток первинної медико-санітарної допомоги, укріплення та оновлення матеріально-технічної бази а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мбулаторій загальної практики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сімейної медицини, поліпшення забезпечення кваліфікованими медичними кадрами, перехід до фінансування  закупівлі сучасного медичного обладнання та матеріальної мотивації праці медичних працівників, забезпечення належного фінансування потреб первинної ланки. </w:t>
      </w:r>
    </w:p>
    <w:p w:rsidR="00591629" w:rsidRPr="00A94722" w:rsidRDefault="00591629" w:rsidP="00591629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Проблеми первинної медико-санітарної допомоги</w:t>
      </w:r>
      <w:r w:rsidR="00E142B0"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</w:t>
      </w:r>
    </w:p>
    <w:p w:rsidR="00591629" w:rsidRPr="00A94722" w:rsidRDefault="00E142B0" w:rsidP="00591629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 яких спрямована П</w:t>
      </w:r>
      <w:r w:rsidR="00591629"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рограма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Комунальне  підприємство 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«Кременчуцький районний центр первинної медико-санітарної допомоги» здійснює медичне обслуговування населення, що проживає на території Кременчуцького району в кількості 16703 жителів. Потужність закладу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5284 відвідувань на місяць.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Протягом останніх років вирішено ряд завдань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спрямованих на забезпечення прав громадян на якісну та доступну медико-санітарну допомогу, створення умов для формування здорового способу життя. Покращилась доступність населення до кваліфікованої лікарської допомоги, забезпечуються заходи з профілактики та ранньої діагностики захворювань, надається невідкладна медична допомога на 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госпітальному етапі, якісний диспансерний нагляд за прикріпленим населенням. Розроблено та впроваджено в роботу локальні клінічні протоколи надання первинної медичної допомоги та маршрути пацієнта.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Вдалось частково покращити матеріально-технічне, організаційне, кадрове та медикаментозне забезпечення структурних підрозділів . </w:t>
      </w:r>
    </w:p>
    <w:p w:rsidR="00591629" w:rsidRPr="00A94722" w:rsidRDefault="00E142B0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Однак у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районі обслуговування  залишається складною демографічна ситуація. Поступово зменшується показник природного приросту населення. З кожним роком відмічається ріст інвалідизації населення.  На тлі несприятливих демографічних змін відбувається погіршення стану здоров'я населення з істотним підвищенням в усіх вікових групах рівнів захворюваності і поширеності хвороб, зокрема хронічних неінфекційних захворювань, включаючи хвороби системи кровообігу, злоякісні новоутворення, цукровий діабет. Водночас, відмічається тенденція до погіршення стану здоров'я молоді, збільшення частоти соціально небезпечних хвороб, у тому числі туберкульозу та ВІЛ/СНІДу.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Поряд із цим в первинній ланці залишається низка питань, які потребують доопрацювання та вирішення, а саме: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всього по закладу кадрове забезпечення лікарями, що надають медичну допомогу на первинному рівні</w:t>
      </w:r>
      <w:r w:rsidR="00CA2013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становить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8 лікарів, з  них  6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пенсійного  віку. Питома вага лікарів загальної практики сімейної медицини пенсійного та передпенсійного віку складає 75 %, що потребує постійної підготовки лікарських кадрів; </w:t>
      </w:r>
    </w:p>
    <w:p w:rsidR="00E029F2" w:rsidRPr="00A94722" w:rsidRDefault="00591629" w:rsidP="00591629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4722">
        <w:rPr>
          <w:rFonts w:ascii="Calibri" w:eastAsia="Calibri" w:hAnsi="Calibri" w:cs="Times New Roman"/>
          <w:sz w:val="28"/>
          <w:szCs w:val="28"/>
          <w:lang w:val="uk-UA"/>
        </w:rPr>
        <w:t xml:space="preserve">          - </w:t>
      </w:r>
      <w:r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впровадженн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інформаційно-аналітичної підтримки розвитку первинної медичної допомоги, що забезпечить контроль за лікувально-діагностичним процесом та здій</w:t>
      </w:r>
      <w:r w:rsidR="00E029F2"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сненням профілактичних заходів;</w:t>
      </w:r>
    </w:p>
    <w:p w:rsidR="00591629" w:rsidRPr="00A94722" w:rsidRDefault="00E029F2" w:rsidP="00591629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- 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наданн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лікувально-профілактичними закладами медичних послуг, що підвищать оперативність роботи лікаря, покращать систему планування 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аналізу статистичної звітності;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забезпеченн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Pr="00A947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населення ефективними, безпечними і якісними лікарськими засобами та виробами медичного призначення для надання невідкладної допомоги;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забезпечення інвалідів, дітей-інвалідів технічними засобами для використання в амбулаторних та побутових умовах;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забезпечення безоплатного та пільгового відпуску лікарських засобів у разі амбулаторного лікування окремих груп населення та категорій захворюван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ь, особливо онкохворих жителів та людей післяопераційного стану, що проживають 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Кременчуцькому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районі ;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поліпшення медичної допомоги вразливим верствам населення та жителям села. 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A9472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 Шляхи і способи розв’язання проблем.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91629" w:rsidRPr="00A94722" w:rsidRDefault="00591629" w:rsidP="0059162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Оптимальним варіантом розв’язання проблем  даної  Програми  є : 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 пріоритетний розвиток первинної медико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санітарної допомоги на засадах сімейної медицини; 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 удосконалення матеріально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технічної бази охорони здоров’я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здоров’я, а  саме оснащення структурних підрозділів закладу медичним обладнанням та інструментарієм відповідно до табеля оснащення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затвердженого МОЗ Укр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аїни від 26.01.2018 року № 148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(швидкими тестами: вагітність, ВІЛ, вірусні гепатити; небулайзерів, спірометрів, пікфлуометрів та інше);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залучення засобів масової інформації, навчальних закладів та громадських організацій до більш широкого інформування населення з питань профілактики, раннього виявлення та ефективного лікування захворювань;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  поліпшення медичної допомоги вразливим верствам населення та жителям села;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забезпечення населення ефективними, безпечними і якісними лікарськими засобами та виробами медичного призначення;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поліпшення стану здоров’я всіх верств населення, зниження рівня захворюваності, інвалідності, смертності, продовження активного довголіття і тривалості життя;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підвищення ефективності використання наявних кадрових, фінансових та матеріальних ресурсів охорони здоров’я;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забезпеченн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санітарним транспортом  та іншою медичною технікою заклади сільської місцевості, що покращить діагностику жителів сільської місцевості;</w:t>
      </w:r>
    </w:p>
    <w:p w:rsidR="00300C34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впровадженн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інформаційно-аналітичної підтримки розвитку первинної медичної допомоги, що забезпечить контроль за лікувально-діагностичним процесом та зді</w:t>
      </w:r>
      <w:r w:rsidR="00300C34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йсненням профілактичних заходів;</w:t>
      </w:r>
    </w:p>
    <w:p w:rsidR="00591629" w:rsidRPr="00A94722" w:rsidRDefault="00300C34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наданн</w:t>
      </w:r>
      <w:r w:rsidR="00E142B0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лікувально-профілактичними закладами медичних послуг, що підвищать оперативність роботи лікаря, покращать систему планування і аналізу статистичної звітності;</w:t>
      </w:r>
    </w:p>
    <w:p w:rsidR="00B450E7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 створенн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сучасної інноваційної моделі надання медичних послуг населенню через впровадження інформаційно-ан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алітичної та пошукової системи;</w:t>
      </w:r>
    </w:p>
    <w:p w:rsidR="00591629" w:rsidRPr="00A94722" w:rsidRDefault="00B450E7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покращенн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матеріально-технічної бази, модернізаці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медичного обладнання для лікувально-профілактичних закладів сімейної медицини Кременчуцького району;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 впровадження системи персоніфікованого електронног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реєстру громадян та сучасних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інформаційних і </w:t>
      </w:r>
      <w:proofErr w:type="spellStart"/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телемедичних</w:t>
      </w:r>
      <w:proofErr w:type="spellEnd"/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технологій в діяльності первинної медико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санітарної допомоги.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Очікувані результати виконання Програми.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Виконання Програми дасть змогу: </w:t>
      </w:r>
    </w:p>
    <w:p w:rsidR="00591629" w:rsidRPr="00A94722" w:rsidRDefault="00093CBA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підвищити ефективність  р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оботи закладів охорони здоров’я з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подоланн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неспри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ятливих демографічних тенденцій;</w:t>
      </w:r>
    </w:p>
    <w:p w:rsidR="00B450E7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 збільш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питом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ваг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медичних послуг на засадах сімейної медицини, що забезпечить зменшення потреби у дорогих видах медичної допомоги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91629" w:rsidRPr="00A94722" w:rsidRDefault="00B450E7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покращити забезпечення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амбулаторій загальної практики 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сімейної медицини медичним обладнанням, інструментами, санітарним автотранспортом, згідно  табеля оснащення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91629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розроблено на підставі Наказу Міністерства охорони здоров’я України № 148 від 26.01.2018 р.;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поліпшити якість амбулаторного лікування пільгових категорій населення, забезпечивши їх лікарськими засобами безкоштовно або із знижкою 50% в залежності від потреби хворого;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сформувати систему доступних та високоякісних медичних послуг на засадах сімейної медицини, що забезпечить зменшення потреби населення </w:t>
      </w:r>
      <w:r w:rsidR="00B450E7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дорогих видах медичної допомоги.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покращити ранню діагностику захворювань серцево-судинної системи, онкології, що знизить показники смертності </w:t>
      </w:r>
      <w:r w:rsidR="009344D8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інвалідності від даної патології;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покращити надання населенню якісної амбулаторної медичної допомоги первинного рівня та зменшити кількість звернень до вузьких спеціалістів;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забезпечити організацію та координацію лікарем сімейної медицини надання пацієнтам спеціалізованої амбулаторної медичної допомоги, направлення населення на консультацію до вузьких спеціалістів вторинного та третинного рівнів, направлення на стаціонарне лікування; 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забезпечити надання оптимальної  амбулаторної паліативної допомоги, а саме медикаментозного знеболення хворим на онкологію в термінальних стадіях;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поліпшити своєчасне надання невідкладної медичної допомоги населенню району та обслуговування викликів, завдяки забезпеченню структурних підрозділів закладу  автотранспортом;</w:t>
      </w:r>
    </w:p>
    <w:p w:rsidR="00591629" w:rsidRPr="00A94722" w:rsidRDefault="00591629" w:rsidP="00591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- своєчасна вакцинація проти інфекцій</w:t>
      </w:r>
      <w:r w:rsidR="000332A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керованих специфічними засобами імунопрофілактики.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6. Фінансове забезпечення виконання Програми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91629" w:rsidRPr="00A94722" w:rsidRDefault="00591629" w:rsidP="0059162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Фінансове забезпечення виконання Програми здійснюється за рахунок:</w:t>
      </w:r>
    </w:p>
    <w:p w:rsidR="00591629" w:rsidRPr="00A94722" w:rsidRDefault="00591629" w:rsidP="00591629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фінансування з</w:t>
      </w:r>
      <w:r w:rsidR="00093CBA"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районного, сільських бюджетів </w:t>
      </w: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та бюджету об’єднаної територіальної громади з використанням програмно-цільового методу ( за бюджетною програмою);</w:t>
      </w:r>
    </w:p>
    <w:p w:rsidR="00591629" w:rsidRPr="00A94722" w:rsidRDefault="00591629" w:rsidP="00591629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залучення додаткових коштів для розвитку якісної медицини; </w:t>
      </w:r>
    </w:p>
    <w:p w:rsidR="00591629" w:rsidRPr="00A94722" w:rsidRDefault="00591629" w:rsidP="00591629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інших джерел, не заборонених законодавством України.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Кошти, отримані за результатами діяльності, використовуються підприємством на виконання запланованих заходів Програми. 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Обсяги фінансування Програми на 2019 рік (додаток).</w:t>
      </w:r>
    </w:p>
    <w:p w:rsidR="00591629" w:rsidRPr="00A94722" w:rsidRDefault="00591629" w:rsidP="0059162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Програми у повному обсязі можливе лише за умови стабільного фінансування її складових.</w:t>
      </w:r>
    </w:p>
    <w:p w:rsidR="00591629" w:rsidRPr="00A94722" w:rsidRDefault="00591629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1629" w:rsidRPr="00A94722" w:rsidRDefault="00591629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591629" w:rsidRPr="00A94722" w:rsidTr="004A1B15">
        <w:tc>
          <w:tcPr>
            <w:tcW w:w="6521" w:type="dxa"/>
          </w:tcPr>
          <w:p w:rsidR="00591629" w:rsidRPr="00A94722" w:rsidRDefault="000332AA" w:rsidP="00591629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 w:rsidR="00591629"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591629" w:rsidRPr="00A94722" w:rsidRDefault="00591629" w:rsidP="00591629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районної ради </w:t>
            </w:r>
          </w:p>
          <w:p w:rsidR="00591629" w:rsidRPr="00A94722" w:rsidRDefault="00591629" w:rsidP="00591629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91629" w:rsidRPr="00A94722" w:rsidRDefault="00591629" w:rsidP="00591629">
            <w:pPr>
              <w:ind w:right="99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Е.І. Скляревський</w:t>
            </w:r>
          </w:p>
        </w:tc>
      </w:tr>
    </w:tbl>
    <w:p w:rsidR="00591629" w:rsidRPr="00A94722" w:rsidRDefault="00591629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1629" w:rsidRPr="00A94722" w:rsidRDefault="00591629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635" w:type="dxa"/>
        <w:jc w:val="center"/>
        <w:tblLook w:val="0000" w:firstRow="0" w:lastRow="0" w:firstColumn="0" w:lastColumn="0" w:noHBand="0" w:noVBand="0"/>
      </w:tblPr>
      <w:tblGrid>
        <w:gridCol w:w="5040"/>
        <w:gridCol w:w="4595"/>
      </w:tblGrid>
      <w:tr w:rsidR="00A94722" w:rsidRPr="00A94722" w:rsidTr="002D16D8">
        <w:trPr>
          <w:trHeight w:val="367"/>
          <w:jc w:val="center"/>
        </w:trPr>
        <w:tc>
          <w:tcPr>
            <w:tcW w:w="5040" w:type="dxa"/>
          </w:tcPr>
          <w:p w:rsidR="00A94722" w:rsidRPr="00A94722" w:rsidRDefault="00A94722" w:rsidP="00A94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</w:tcPr>
          <w:p w:rsidR="00A94722" w:rsidRPr="00A94722" w:rsidRDefault="00A94722" w:rsidP="00A94722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A94722" w:rsidRPr="00A94722" w:rsidRDefault="00A94722" w:rsidP="00A94722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A9472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програми розвитку та підтримки комунального підприємства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   на 2019 рік</w:t>
            </w:r>
          </w:p>
        </w:tc>
      </w:tr>
    </w:tbl>
    <w:p w:rsidR="00A94722" w:rsidRPr="00A94722" w:rsidRDefault="00A94722" w:rsidP="00A94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94722" w:rsidRPr="00A94722" w:rsidRDefault="00A94722" w:rsidP="00A94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ПАСПОРТ</w:t>
      </w:r>
    </w:p>
    <w:p w:rsidR="00A94722" w:rsidRPr="00A94722" w:rsidRDefault="00A94722" w:rsidP="00A947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94722">
        <w:rPr>
          <w:rFonts w:ascii="Times New Roman" w:eastAsia="Calibri" w:hAnsi="Times New Roman" w:cs="Times New Roman"/>
          <w:sz w:val="20"/>
          <w:szCs w:val="20"/>
          <w:lang w:val="uk-UA"/>
        </w:rPr>
        <w:t>(загальна характеристика регіональної цільової програми)</w:t>
      </w:r>
    </w:p>
    <w:p w:rsidR="00A94722" w:rsidRPr="00A94722" w:rsidRDefault="00A94722" w:rsidP="00A947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94722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 xml:space="preserve">Програма розвитку та підтримки комунального підприємства </w:t>
      </w:r>
      <w:r w:rsidRPr="00A9472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«Кременчуцький районний центр первинної медико-санітарної допомоги» на 2019рік. </w:t>
      </w:r>
    </w:p>
    <w:p w:rsidR="00A94722" w:rsidRPr="00A94722" w:rsidRDefault="00A94722" w:rsidP="00A947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94722">
        <w:rPr>
          <w:rFonts w:ascii="Times New Roman" w:eastAsia="Calibri" w:hAnsi="Times New Roman" w:cs="Times New Roman"/>
          <w:sz w:val="20"/>
          <w:szCs w:val="20"/>
          <w:lang w:val="uk-UA"/>
        </w:rPr>
        <w:t>(назва програми)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361"/>
      </w:tblGrid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Кременчуцька районна державна адміністрація.</w:t>
            </w:r>
          </w:p>
        </w:tc>
      </w:tr>
      <w:tr w:rsidR="00A94722" w:rsidRPr="00A94722" w:rsidTr="002D16D8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Законодавча база,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bookmarkStart w:id="0" w:name="n3"/>
            <w:bookmarkEnd w:id="0"/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Ст.5 Закону України «Про державні фінансові гарантії медичного обслуговування населення» №</w:t>
            </w:r>
            <w:r w:rsidRPr="00A94722">
              <w:rPr>
                <w:rFonts w:ascii="Times New Roman" w:eastAsia="Calibri" w:hAnsi="Times New Roman" w:cs="Times New Roman"/>
                <w:color w:val="292B2C"/>
                <w:sz w:val="28"/>
                <w:szCs w:val="28"/>
                <w:lang w:val="uk-UA"/>
              </w:rPr>
              <w:t xml:space="preserve">2168-VIII від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19.10.2017р</w:t>
            </w:r>
          </w:p>
        </w:tc>
      </w:tr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Комунальне підприємство 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</w:t>
            </w:r>
          </w:p>
        </w:tc>
      </w:tr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Комунальне підприємство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</w:t>
            </w:r>
          </w:p>
        </w:tc>
      </w:tr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Комунальне підприємство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</w:t>
            </w:r>
          </w:p>
        </w:tc>
      </w:tr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Районний бюджет, бюджет Новознам’янської ОТГ</w:t>
            </w:r>
          </w:p>
        </w:tc>
      </w:tr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A9472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1212,4 тис.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коштів  районного бюджету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1094,7 тис.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A94722" w:rsidRPr="00A94722" w:rsidTr="002D16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коштів  бюджету Новознам’янської ОТГ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117,7 тис.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</w:tbl>
    <w:p w:rsidR="00A94722" w:rsidRPr="00A94722" w:rsidRDefault="00A94722" w:rsidP="00A947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94722" w:rsidRPr="00A94722" w:rsidRDefault="00A94722" w:rsidP="00A947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9894" w:type="dxa"/>
        <w:jc w:val="center"/>
        <w:tblLook w:val="0000" w:firstRow="0" w:lastRow="0" w:firstColumn="0" w:lastColumn="0" w:noHBand="0" w:noVBand="0"/>
      </w:tblPr>
      <w:tblGrid>
        <w:gridCol w:w="5346"/>
        <w:gridCol w:w="4548"/>
      </w:tblGrid>
      <w:tr w:rsidR="00A94722" w:rsidRPr="00A94722" w:rsidTr="002D16D8">
        <w:trPr>
          <w:trHeight w:val="367"/>
          <w:jc w:val="center"/>
        </w:trPr>
        <w:tc>
          <w:tcPr>
            <w:tcW w:w="5346" w:type="dxa"/>
          </w:tcPr>
          <w:p w:rsidR="00A94722" w:rsidRPr="00A94722" w:rsidRDefault="00A94722" w:rsidP="00A94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A94722" w:rsidRPr="00A94722" w:rsidRDefault="00A94722" w:rsidP="00A94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районної ради </w:t>
            </w:r>
          </w:p>
          <w:p w:rsidR="00A94722" w:rsidRPr="00A94722" w:rsidRDefault="00A94722" w:rsidP="00A94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48" w:type="dxa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Е.І. Скляревський</w:t>
            </w:r>
          </w:p>
        </w:tc>
      </w:tr>
      <w:tr w:rsidR="00A94722" w:rsidRPr="00A94722" w:rsidTr="002D16D8">
        <w:trPr>
          <w:trHeight w:val="367"/>
          <w:jc w:val="center"/>
        </w:trPr>
        <w:tc>
          <w:tcPr>
            <w:tcW w:w="5346" w:type="dxa"/>
          </w:tcPr>
          <w:p w:rsidR="00A94722" w:rsidRPr="00A94722" w:rsidRDefault="00A94722" w:rsidP="00A9472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4548" w:type="dxa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  <w:p w:rsidR="00A94722" w:rsidRPr="00A94722" w:rsidRDefault="00A94722" w:rsidP="00A94722">
            <w:pPr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A94722" w:rsidRPr="00A94722" w:rsidRDefault="00A94722" w:rsidP="00A94722">
            <w:pPr>
              <w:spacing w:after="0" w:line="240" w:lineRule="auto"/>
              <w:ind w:left="-11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A9472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програми розвитку та підтримки комунального підприємства 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 на 2019 рік</w:t>
            </w:r>
          </w:p>
        </w:tc>
      </w:tr>
    </w:tbl>
    <w:p w:rsidR="00A94722" w:rsidRPr="00A94722" w:rsidRDefault="00A94722" w:rsidP="00A9472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A94722" w:rsidRPr="00A94722" w:rsidRDefault="00A94722" w:rsidP="00A94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Ресурсне забезпечення регіональної цільової програми</w:t>
      </w:r>
    </w:p>
    <w:p w:rsidR="00A94722" w:rsidRPr="00A94722" w:rsidRDefault="00A94722" w:rsidP="00A947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Програма розвитку та підтримки</w:t>
      </w:r>
    </w:p>
    <w:p w:rsidR="00A94722" w:rsidRPr="00A94722" w:rsidRDefault="00A94722" w:rsidP="00A947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комунального підприємства </w:t>
      </w:r>
    </w:p>
    <w:p w:rsidR="00A94722" w:rsidRPr="00A94722" w:rsidRDefault="00A94722" w:rsidP="00A947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«Кременчуцький районний центр первинної </w:t>
      </w:r>
    </w:p>
    <w:p w:rsidR="00A94722" w:rsidRPr="00A94722" w:rsidRDefault="00A94722" w:rsidP="00A947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медико-санітарної допомоги» </w:t>
      </w:r>
    </w:p>
    <w:p w:rsidR="00A94722" w:rsidRPr="00A94722" w:rsidRDefault="00A94722" w:rsidP="00A947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2019рік</w:t>
      </w:r>
    </w:p>
    <w:p w:rsidR="00A94722" w:rsidRPr="00A94722" w:rsidRDefault="00A94722" w:rsidP="00A94722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9472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</w:t>
      </w:r>
      <w:r w:rsidRPr="00A9472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(назва програми)</w:t>
      </w:r>
    </w:p>
    <w:p w:rsidR="00A94722" w:rsidRPr="00A94722" w:rsidRDefault="00A94722" w:rsidP="00A947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A947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722">
        <w:rPr>
          <w:rFonts w:ascii="Times New Roman" w:eastAsia="Calibri" w:hAnsi="Times New Roman" w:cs="Times New Roman"/>
          <w:sz w:val="28"/>
          <w:szCs w:val="28"/>
          <w:lang w:val="uk-UA"/>
        </w:rPr>
        <w:t>тис. грн.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099"/>
        <w:gridCol w:w="808"/>
        <w:gridCol w:w="992"/>
        <w:gridCol w:w="1224"/>
        <w:gridCol w:w="1044"/>
        <w:gridCol w:w="1353"/>
      </w:tblGrid>
      <w:tr w:rsidR="00A94722" w:rsidRPr="00A94722" w:rsidTr="00A94722">
        <w:trPr>
          <w:jc w:val="center"/>
        </w:trPr>
        <w:tc>
          <w:tcPr>
            <w:tcW w:w="3329" w:type="dxa"/>
            <w:vMerge w:val="restart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167" w:type="dxa"/>
            <w:gridSpan w:val="5"/>
          </w:tcPr>
          <w:p w:rsidR="00A94722" w:rsidRPr="00A94722" w:rsidRDefault="00A94722" w:rsidP="00A94722">
            <w:pPr>
              <w:tabs>
                <w:tab w:val="left" w:pos="4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1353" w:type="dxa"/>
            <w:vMerge w:val="restart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A94722" w:rsidRPr="00A94722" w:rsidTr="00A94722">
        <w:trPr>
          <w:jc w:val="center"/>
        </w:trPr>
        <w:tc>
          <w:tcPr>
            <w:tcW w:w="3329" w:type="dxa"/>
            <w:vMerge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gridSpan w:val="3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2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4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53" w:type="dxa"/>
            <w:vMerge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722" w:rsidRPr="00A94722" w:rsidTr="00A94722">
        <w:trPr>
          <w:jc w:val="center"/>
        </w:trPr>
        <w:tc>
          <w:tcPr>
            <w:tcW w:w="3329" w:type="dxa"/>
            <w:vMerge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808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20___ рік</w:t>
            </w:r>
          </w:p>
        </w:tc>
        <w:tc>
          <w:tcPr>
            <w:tcW w:w="992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20___ рік</w:t>
            </w:r>
          </w:p>
        </w:tc>
        <w:tc>
          <w:tcPr>
            <w:tcW w:w="122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20___-20___ рр.</w:t>
            </w:r>
          </w:p>
        </w:tc>
        <w:tc>
          <w:tcPr>
            <w:tcW w:w="104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20___-20___ рр.</w:t>
            </w:r>
          </w:p>
        </w:tc>
        <w:tc>
          <w:tcPr>
            <w:tcW w:w="1353" w:type="dxa"/>
            <w:vMerge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722" w:rsidRPr="00A94722" w:rsidTr="00A94722">
        <w:trPr>
          <w:jc w:val="center"/>
        </w:trPr>
        <w:tc>
          <w:tcPr>
            <w:tcW w:w="332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Обсяг ресурсів,</w:t>
            </w:r>
          </w:p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09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1212,4</w:t>
            </w:r>
          </w:p>
        </w:tc>
        <w:tc>
          <w:tcPr>
            <w:tcW w:w="808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1212,4</w:t>
            </w:r>
          </w:p>
        </w:tc>
      </w:tr>
      <w:tr w:rsidR="00A94722" w:rsidRPr="00A94722" w:rsidTr="00A94722">
        <w:trPr>
          <w:trHeight w:val="577"/>
          <w:jc w:val="center"/>
        </w:trPr>
        <w:tc>
          <w:tcPr>
            <w:tcW w:w="332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09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722" w:rsidRPr="00A94722" w:rsidTr="00A94722">
        <w:trPr>
          <w:trHeight w:val="557"/>
          <w:jc w:val="center"/>
        </w:trPr>
        <w:tc>
          <w:tcPr>
            <w:tcW w:w="332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09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722" w:rsidRPr="00A94722" w:rsidTr="00A94722">
        <w:trPr>
          <w:trHeight w:val="551"/>
          <w:jc w:val="center"/>
        </w:trPr>
        <w:tc>
          <w:tcPr>
            <w:tcW w:w="332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09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1094,7</w:t>
            </w:r>
          </w:p>
        </w:tc>
        <w:tc>
          <w:tcPr>
            <w:tcW w:w="808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1094,7</w:t>
            </w:r>
          </w:p>
        </w:tc>
      </w:tr>
      <w:tr w:rsidR="00A94722" w:rsidRPr="00A94722" w:rsidTr="00A94722">
        <w:trPr>
          <w:trHeight w:val="573"/>
          <w:jc w:val="center"/>
        </w:trPr>
        <w:tc>
          <w:tcPr>
            <w:tcW w:w="332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бюджети сільських рад</w:t>
            </w:r>
          </w:p>
        </w:tc>
        <w:tc>
          <w:tcPr>
            <w:tcW w:w="109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722" w:rsidRPr="00A94722" w:rsidTr="00A94722">
        <w:trPr>
          <w:trHeight w:val="837"/>
          <w:jc w:val="center"/>
        </w:trPr>
        <w:tc>
          <w:tcPr>
            <w:tcW w:w="332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бюджети об’єднаних територіальних громад</w:t>
            </w:r>
          </w:p>
        </w:tc>
        <w:tc>
          <w:tcPr>
            <w:tcW w:w="109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117,7</w:t>
            </w:r>
          </w:p>
        </w:tc>
        <w:tc>
          <w:tcPr>
            <w:tcW w:w="808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117,7</w:t>
            </w:r>
          </w:p>
        </w:tc>
      </w:tr>
      <w:tr w:rsidR="00A94722" w:rsidRPr="00A94722" w:rsidTr="00A94722">
        <w:trPr>
          <w:trHeight w:val="565"/>
          <w:jc w:val="center"/>
        </w:trPr>
        <w:tc>
          <w:tcPr>
            <w:tcW w:w="3329" w:type="dxa"/>
            <w:vAlign w:val="center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099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A94722" w:rsidRPr="00A94722" w:rsidTr="002D16D8">
        <w:tc>
          <w:tcPr>
            <w:tcW w:w="6521" w:type="dxa"/>
          </w:tcPr>
          <w:p w:rsidR="00A94722" w:rsidRPr="00A94722" w:rsidRDefault="00A94722" w:rsidP="00A94722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4722" w:rsidRPr="00A94722" w:rsidRDefault="00A94722" w:rsidP="00A94722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4722" w:rsidRPr="00A94722" w:rsidRDefault="00A94722" w:rsidP="00A94722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A94722" w:rsidRPr="00A94722" w:rsidRDefault="00A94722" w:rsidP="00A94722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районної ради </w:t>
            </w:r>
          </w:p>
          <w:p w:rsidR="00A94722" w:rsidRPr="00A94722" w:rsidRDefault="00A94722" w:rsidP="00A94722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94722" w:rsidRPr="00A94722" w:rsidRDefault="00A94722" w:rsidP="00A94722">
            <w:pPr>
              <w:ind w:right="99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Е.І. Скляревський</w:t>
            </w:r>
          </w:p>
        </w:tc>
      </w:tr>
    </w:tbl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22" w:rsidRPr="00A94722" w:rsidRDefault="00A94722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0833" w:rsidRPr="00A94722" w:rsidRDefault="00D70833" w:rsidP="00591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D70833" w:rsidRPr="00A94722" w:rsidSect="00BE69A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51"/>
        <w:tblW w:w="15735" w:type="dxa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947"/>
        <w:gridCol w:w="1872"/>
        <w:gridCol w:w="992"/>
        <w:gridCol w:w="393"/>
        <w:gridCol w:w="1025"/>
        <w:gridCol w:w="3544"/>
        <w:gridCol w:w="1417"/>
        <w:gridCol w:w="1418"/>
      </w:tblGrid>
      <w:tr w:rsidR="00A94722" w:rsidRPr="00A94722" w:rsidTr="00A94722">
        <w:trPr>
          <w:trHeight w:val="300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722" w:rsidRPr="00A94722" w:rsidRDefault="00A94722" w:rsidP="00A9472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94722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lastRenderedPageBreak/>
              <w:t xml:space="preserve">       </w:t>
            </w:r>
            <w:r w:rsidRPr="00A94722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ab/>
            </w:r>
            <w:r w:rsidRPr="00A94722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ab/>
            </w:r>
            <w:r w:rsidRPr="00A94722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ab/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right w:val="nil"/>
            </w:tcBorders>
          </w:tcPr>
          <w:p w:rsidR="00A94722" w:rsidRPr="00A94722" w:rsidRDefault="00A94722" w:rsidP="00A94722">
            <w:pPr>
              <w:spacing w:after="0" w:line="240" w:lineRule="auto"/>
              <w:ind w:left="3876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74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ind w:left="13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Додаток 3</w:t>
            </w:r>
          </w:p>
          <w:p w:rsidR="00A94722" w:rsidRPr="00A94722" w:rsidRDefault="00A94722" w:rsidP="00A94722">
            <w:pPr>
              <w:spacing w:after="0" w:line="240" w:lineRule="auto"/>
              <w:ind w:left="13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bookmarkStart w:id="1" w:name="RANGE!A1:I76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  програми розвитку та підтримки</w:t>
            </w:r>
            <w:bookmarkEnd w:id="1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комунального підприємства « Кременчуцький районний центр первинної медико–санітарної допомоги» на 2019 рік</w:t>
            </w:r>
          </w:p>
        </w:tc>
      </w:tr>
      <w:tr w:rsidR="00A94722" w:rsidRPr="00A94722" w:rsidTr="00A94722">
        <w:trPr>
          <w:trHeight w:val="300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722" w:rsidRPr="00A94722" w:rsidRDefault="00A94722" w:rsidP="00A94722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257" w:type="dxa"/>
            <w:gridSpan w:val="3"/>
            <w:tcBorders>
              <w:left w:val="nil"/>
              <w:bottom w:val="nil"/>
              <w:right w:val="nil"/>
            </w:tcBorders>
          </w:tcPr>
          <w:p w:rsidR="00A94722" w:rsidRPr="00A94722" w:rsidRDefault="00A94722" w:rsidP="00A94722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4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94722" w:rsidRPr="00A94722" w:rsidTr="00A94722">
        <w:trPr>
          <w:trHeight w:val="918"/>
        </w:trPr>
        <w:tc>
          <w:tcPr>
            <w:tcW w:w="15735" w:type="dxa"/>
            <w:gridSpan w:val="10"/>
            <w:tcBorders>
              <w:top w:val="nil"/>
              <w:left w:val="nil"/>
              <w:right w:val="nil"/>
            </w:tcBorders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Напрями діяльності та заходи </w:t>
            </w:r>
          </w:p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районної програми розвитку та підтримки  комунального  підприємства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«Кременчуцький районний центр  первинної медико-санітарної допомоги» </w:t>
            </w:r>
          </w:p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 2019 рік</w:t>
            </w: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94722" w:rsidRPr="00A94722" w:rsidTr="00A94722">
        <w:trPr>
          <w:trHeight w:val="8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напрямку діяльності (пріоритетні завдання)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Очікуваний результат</w:t>
            </w:r>
          </w:p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 </w:t>
            </w:r>
          </w:p>
        </w:tc>
      </w:tr>
      <w:tr w:rsidR="00A94722" w:rsidRPr="00A94722" w:rsidTr="00A94722">
        <w:trPr>
          <w:trHeight w:val="32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94722" w:rsidRPr="00A94722" w:rsidTr="00A94722">
        <w:trPr>
          <w:trHeight w:val="457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6" w:type="dxa"/>
            <w:vMerge w:val="restart"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Забезпече-ння</w:t>
            </w:r>
            <w:proofErr w:type="spellEnd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діагносту-</w:t>
            </w:r>
            <w:proofErr w:type="spellStart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вання</w:t>
            </w:r>
            <w:proofErr w:type="spellEnd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і виявлення </w:t>
            </w:r>
            <w:proofErr w:type="spellStart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захворю-вання</w:t>
            </w:r>
            <w:proofErr w:type="spellEnd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на ранніх стадіях та надання первинної медичної допомоги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оплата водопостачання  та  водовідведення;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2019 р.</w: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КП «Кремен-</w:t>
            </w:r>
            <w:proofErr w:type="spellStart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чуцький</w:t>
            </w:r>
            <w:proofErr w:type="spellEnd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районний центр первинної медико-санітарної допомоги»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Районний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6,4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Забезпе</w:t>
            </w:r>
            <w:proofErr w:type="spellEnd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-  </w:t>
            </w:r>
            <w:proofErr w:type="spellStart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чення</w:t>
            </w:r>
            <w:proofErr w:type="spellEnd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гарантії медичного </w:t>
            </w:r>
            <w:proofErr w:type="spellStart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обслугову-вання</w:t>
            </w:r>
            <w:proofErr w:type="spellEnd"/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населення та обсягу медичних послуг</w:t>
            </w:r>
          </w:p>
        </w:tc>
      </w:tr>
      <w:tr w:rsidR="00A94722" w:rsidRPr="00A94722" w:rsidTr="00A94722">
        <w:trPr>
          <w:trHeight w:val="12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оплата  електроенергії;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Районний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198,1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722" w:rsidRPr="00A94722" w:rsidTr="00A94722">
        <w:trPr>
          <w:trHeight w:val="244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оплата  природного  газу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Районний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591,9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722" w:rsidRPr="00A94722" w:rsidTr="00A94722">
        <w:trPr>
          <w:trHeight w:val="21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 оплата інших  енергоносіїв (</w:t>
            </w:r>
            <w:proofErr w:type="spellStart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пелети</w:t>
            </w:r>
            <w:proofErr w:type="spellEnd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Районний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21,6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722" w:rsidRPr="00A94722" w:rsidTr="00A94722">
        <w:trPr>
          <w:trHeight w:val="19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придбання дитячого харчування 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Районний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25,8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722" w:rsidRPr="00A94722" w:rsidTr="00A94722">
        <w:trPr>
          <w:trHeight w:val="738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 відшкодування витрат, пов’язаних з відпуском лікарських засобів(пільгові рецепти);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Районний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90,9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722" w:rsidRPr="00A94722" w:rsidTr="00A94722">
        <w:trPr>
          <w:trHeight w:val="25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придбання комп’ютерів в зборі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Районний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160,0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722" w:rsidRPr="00A94722" w:rsidTr="00A94722">
        <w:trPr>
          <w:trHeight w:val="234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оплата  електроенергії;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Бюджет Новознам’янської ОТГ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33,4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722" w:rsidRPr="00A94722" w:rsidTr="00A94722">
        <w:trPr>
          <w:trHeight w:val="20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оплата  природного  газу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Бюджет Новознам’янської ОТГ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722" w:rsidRPr="00A94722" w:rsidTr="00A94722">
        <w:trPr>
          <w:trHeight w:val="27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 оплата інших  енергоносіїв (</w:t>
            </w:r>
            <w:proofErr w:type="spellStart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пелети</w:t>
            </w:r>
            <w:proofErr w:type="spellEnd"/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Бюджет Новознам’янської ОТГ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10,8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722" w:rsidRPr="00A94722" w:rsidTr="00A94722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2" w:rsidRPr="00A94722" w:rsidRDefault="00A94722" w:rsidP="00A94722">
            <w:pPr>
              <w:spacing w:after="0" w:line="240" w:lineRule="auto"/>
              <w:ind w:firstLineChars="500" w:firstLine="1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ind w:firstLineChars="500" w:firstLine="1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47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1212,4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D70833" w:rsidRPr="00A94722" w:rsidRDefault="00D70833" w:rsidP="00591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6379"/>
      </w:tblGrid>
      <w:tr w:rsidR="00A94722" w:rsidRPr="00A94722" w:rsidTr="002D16D8">
        <w:trPr>
          <w:trHeight w:val="701"/>
        </w:trPr>
        <w:tc>
          <w:tcPr>
            <w:tcW w:w="6521" w:type="dxa"/>
          </w:tcPr>
          <w:p w:rsidR="00A94722" w:rsidRPr="00A94722" w:rsidRDefault="00A94722" w:rsidP="00A94722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         Заступник голови</w:t>
            </w: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A94722" w:rsidRPr="00A94722" w:rsidRDefault="00A94722" w:rsidP="00A94722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районної ради </w:t>
            </w:r>
          </w:p>
        </w:tc>
        <w:tc>
          <w:tcPr>
            <w:tcW w:w="6379" w:type="dxa"/>
            <w:vAlign w:val="center"/>
          </w:tcPr>
          <w:p w:rsidR="00A94722" w:rsidRPr="00A94722" w:rsidRDefault="00A94722" w:rsidP="00A94722">
            <w:pPr>
              <w:ind w:right="99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947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Е.І. Скляревський</w:t>
            </w:r>
          </w:p>
        </w:tc>
      </w:tr>
    </w:tbl>
    <w:p w:rsidR="00AA1757" w:rsidRPr="00A94722" w:rsidRDefault="00AA1757" w:rsidP="00A94722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AA1757" w:rsidRPr="00A94722" w:rsidSect="00D7083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964"/>
    <w:multiLevelType w:val="hybridMultilevel"/>
    <w:tmpl w:val="E80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30DAA"/>
    <w:multiLevelType w:val="hybridMultilevel"/>
    <w:tmpl w:val="E3F8546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D93AA4"/>
    <w:multiLevelType w:val="hybridMultilevel"/>
    <w:tmpl w:val="7B96855A"/>
    <w:lvl w:ilvl="0" w:tplc="6FA0BE60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569"/>
    <w:rsid w:val="000332AA"/>
    <w:rsid w:val="00093CBA"/>
    <w:rsid w:val="000973BE"/>
    <w:rsid w:val="000A2030"/>
    <w:rsid w:val="000B1318"/>
    <w:rsid w:val="000B16EE"/>
    <w:rsid w:val="000C60AF"/>
    <w:rsid w:val="00173568"/>
    <w:rsid w:val="0019760C"/>
    <w:rsid w:val="001D02EA"/>
    <w:rsid w:val="00300C34"/>
    <w:rsid w:val="00326C64"/>
    <w:rsid w:val="0033615A"/>
    <w:rsid w:val="00350A8F"/>
    <w:rsid w:val="00384BEB"/>
    <w:rsid w:val="00385844"/>
    <w:rsid w:val="003D222B"/>
    <w:rsid w:val="003F71AB"/>
    <w:rsid w:val="004A17DC"/>
    <w:rsid w:val="004B075F"/>
    <w:rsid w:val="00507867"/>
    <w:rsid w:val="00591629"/>
    <w:rsid w:val="005E0B13"/>
    <w:rsid w:val="005E289B"/>
    <w:rsid w:val="006112C8"/>
    <w:rsid w:val="00636747"/>
    <w:rsid w:val="00644095"/>
    <w:rsid w:val="00645DCE"/>
    <w:rsid w:val="006953F3"/>
    <w:rsid w:val="006E15FE"/>
    <w:rsid w:val="00703414"/>
    <w:rsid w:val="007311A3"/>
    <w:rsid w:val="00771865"/>
    <w:rsid w:val="007E0524"/>
    <w:rsid w:val="00803BE8"/>
    <w:rsid w:val="00807569"/>
    <w:rsid w:val="00861528"/>
    <w:rsid w:val="0088528E"/>
    <w:rsid w:val="008A095A"/>
    <w:rsid w:val="009344D8"/>
    <w:rsid w:val="00956460"/>
    <w:rsid w:val="00962AA4"/>
    <w:rsid w:val="009636DD"/>
    <w:rsid w:val="0096679B"/>
    <w:rsid w:val="00985CB7"/>
    <w:rsid w:val="009972F9"/>
    <w:rsid w:val="009A1845"/>
    <w:rsid w:val="009A7ACF"/>
    <w:rsid w:val="00A94722"/>
    <w:rsid w:val="00AA1757"/>
    <w:rsid w:val="00B303FE"/>
    <w:rsid w:val="00B450E7"/>
    <w:rsid w:val="00BB3BDC"/>
    <w:rsid w:val="00BB56F2"/>
    <w:rsid w:val="00BC74F5"/>
    <w:rsid w:val="00BD123D"/>
    <w:rsid w:val="00BE69A3"/>
    <w:rsid w:val="00BF2718"/>
    <w:rsid w:val="00C86225"/>
    <w:rsid w:val="00CA2013"/>
    <w:rsid w:val="00CA6C7B"/>
    <w:rsid w:val="00CE6AC5"/>
    <w:rsid w:val="00D00800"/>
    <w:rsid w:val="00D30F0A"/>
    <w:rsid w:val="00D317E2"/>
    <w:rsid w:val="00D64E98"/>
    <w:rsid w:val="00D70833"/>
    <w:rsid w:val="00D8557E"/>
    <w:rsid w:val="00D91A07"/>
    <w:rsid w:val="00D93781"/>
    <w:rsid w:val="00E029F2"/>
    <w:rsid w:val="00E142B0"/>
    <w:rsid w:val="00F04213"/>
    <w:rsid w:val="00F566EA"/>
    <w:rsid w:val="00F91F45"/>
    <w:rsid w:val="00FD4B3A"/>
    <w:rsid w:val="00FE04F6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DAB9B"/>
  <w15:docId w15:val="{F62F4F8F-8E2A-44FB-9BEC-DBF8298E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2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19</cp:revision>
  <cp:lastPrinted>2019-02-08T07:22:00Z</cp:lastPrinted>
  <dcterms:created xsi:type="dcterms:W3CDTF">2019-02-07T13:28:00Z</dcterms:created>
  <dcterms:modified xsi:type="dcterms:W3CDTF">2019-02-13T09:59:00Z</dcterms:modified>
</cp:coreProperties>
</file>